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hint="eastAsia"/>
          <w:sz w:val="36"/>
          <w:szCs w:val="36"/>
          <w:lang w:val="en-US" w:eastAsia="zh-CN"/>
        </w:rPr>
      </w:pPr>
      <w:bookmarkStart w:id="6" w:name="_GoBack"/>
      <w:bookmarkEnd w:id="6"/>
      <w:r>
        <w:rPr>
          <w:rFonts w:hint="eastAsia"/>
          <w:sz w:val="36"/>
          <w:szCs w:val="36"/>
          <w:lang w:val="en-US" w:eastAsia="zh-CN"/>
        </w:rPr>
        <w:t>关于《大同市中心城区御河与十里河交汇处西南地块控制性详细规划》等控规批复的公告</w:t>
      </w:r>
    </w:p>
    <w:p>
      <w:pPr>
        <w:jc w:val="left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 xml:space="preserve">    </w:t>
      </w:r>
    </w:p>
    <w:p>
      <w:pPr>
        <w:jc w:val="left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 xml:space="preserve">    《大同市中心城区御河与十里河交汇处西南地块控制性详细规划》等3个控规经大同市人民政府批复同意，现公告如下：</w:t>
      </w:r>
    </w:p>
    <w:p>
      <w:pPr>
        <w:numPr>
          <w:ilvl w:val="0"/>
          <w:numId w:val="1"/>
        </w:numPr>
        <w:jc w:val="both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《大同市中心城区御河与十里河交汇处西南地块控制性详细规划》</w:t>
      </w:r>
    </w:p>
    <w:p>
      <w:pPr>
        <w:spacing w:line="360" w:lineRule="auto"/>
        <w:jc w:val="center"/>
        <w:rPr>
          <w:rFonts w:hint="eastAsia" w:ascii="宋体" w:hAnsi="宋体"/>
          <w:color w:val="FF0000"/>
        </w:rPr>
      </w:pPr>
      <w:r>
        <w:drawing>
          <wp:inline distT="0" distB="0" distL="114300" distR="114300">
            <wp:extent cx="4667885" cy="3776345"/>
            <wp:effectExtent l="9525" t="9525" r="27940" b="24130"/>
            <wp:docPr id="1" name="图片 3" descr="控规方案图_-Mod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 descr="控规方案图_-Model"/>
                    <pic:cNvPicPr>
                      <a:picLocks noChangeAspect="1"/>
                    </pic:cNvPicPr>
                  </pic:nvPicPr>
                  <pic:blipFill>
                    <a:blip r:embed="rId4"/>
                    <a:srcRect l="3699" t="10955" r="29983" b="5118"/>
                    <a:stretch>
                      <a:fillRect/>
                    </a:stretch>
                  </pic:blipFill>
                  <pic:spPr>
                    <a:xfrm>
                      <a:off x="0" y="0"/>
                      <a:ext cx="4667885" cy="3776345"/>
                    </a:xfrm>
                    <a:prstGeom prst="rect">
                      <a:avLst/>
                    </a:prstGeom>
                    <a:ln>
                      <a:solidFill>
                        <a:schemeClr val="tx1">
                          <a:lumMod val="95000"/>
                          <a:lumOff val="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80"/>
        <w:jc w:val="center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</w:rPr>
        <w:t>调整后的</w:t>
      </w:r>
      <w:r>
        <w:rPr>
          <w:rFonts w:hint="eastAsia" w:ascii="宋体" w:hAnsi="宋体"/>
          <w:lang w:val="en-US" w:eastAsia="zh-CN"/>
        </w:rPr>
        <w:t>控制性详细规划</w:t>
      </w:r>
    </w:p>
    <w:p>
      <w:pPr>
        <w:spacing w:line="360" w:lineRule="auto"/>
        <w:ind w:firstLine="480"/>
        <w:jc w:val="center"/>
        <w:rPr>
          <w:rFonts w:hint="eastAsia" w:ascii="宋体" w:hAnsi="宋体" w:eastAsiaTheme="minorEastAsia"/>
          <w:lang w:val="en-US" w:eastAsia="zh-CN"/>
        </w:rPr>
      </w:pPr>
      <w:r>
        <w:rPr>
          <w:rFonts w:hint="eastAsia" w:ascii="宋体" w:hAnsi="宋体"/>
          <w:lang w:val="en-US" w:eastAsia="zh-CN"/>
        </w:rPr>
        <w:t>主要地块控制指标表</w:t>
      </w:r>
    </w:p>
    <w:tbl>
      <w:tblPr>
        <w:tblStyle w:val="6"/>
        <w:tblW w:w="89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7"/>
        <w:gridCol w:w="1229"/>
        <w:gridCol w:w="778"/>
        <w:gridCol w:w="1200"/>
        <w:gridCol w:w="1056"/>
        <w:gridCol w:w="968"/>
        <w:gridCol w:w="976"/>
        <w:gridCol w:w="1229"/>
        <w:gridCol w:w="7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7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地块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编号</w:t>
            </w:r>
          </w:p>
        </w:tc>
        <w:tc>
          <w:tcPr>
            <w:tcW w:w="122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用地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性质代码</w:t>
            </w:r>
          </w:p>
        </w:tc>
        <w:tc>
          <w:tcPr>
            <w:tcW w:w="7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用地性质</w:t>
            </w:r>
          </w:p>
        </w:tc>
        <w:tc>
          <w:tcPr>
            <w:tcW w:w="120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用地面积（公顷）</w:t>
            </w:r>
          </w:p>
        </w:tc>
        <w:tc>
          <w:tcPr>
            <w:tcW w:w="10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容积率</w:t>
            </w:r>
          </w:p>
        </w:tc>
        <w:tc>
          <w:tcPr>
            <w:tcW w:w="96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建筑密度（%）</w:t>
            </w:r>
          </w:p>
        </w:tc>
        <w:tc>
          <w:tcPr>
            <w:tcW w:w="9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绿地率（%）</w:t>
            </w:r>
          </w:p>
        </w:tc>
        <w:tc>
          <w:tcPr>
            <w:tcW w:w="122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建筑高度（米）</w:t>
            </w:r>
          </w:p>
        </w:tc>
        <w:tc>
          <w:tcPr>
            <w:tcW w:w="72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7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A-01</w:t>
            </w:r>
          </w:p>
        </w:tc>
        <w:tc>
          <w:tcPr>
            <w:tcW w:w="122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0901</w:t>
            </w:r>
          </w:p>
        </w:tc>
        <w:tc>
          <w:tcPr>
            <w:tcW w:w="7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商业用地</w:t>
            </w:r>
          </w:p>
        </w:tc>
        <w:tc>
          <w:tcPr>
            <w:tcW w:w="120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26.67</w:t>
            </w:r>
          </w:p>
        </w:tc>
        <w:tc>
          <w:tcPr>
            <w:tcW w:w="10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≤1.8</w:t>
            </w:r>
          </w:p>
        </w:tc>
        <w:tc>
          <w:tcPr>
            <w:tcW w:w="96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≤40</w:t>
            </w:r>
          </w:p>
        </w:tc>
        <w:tc>
          <w:tcPr>
            <w:tcW w:w="9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≥20</w:t>
            </w:r>
          </w:p>
        </w:tc>
        <w:tc>
          <w:tcPr>
            <w:tcW w:w="122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≤30</w:t>
            </w:r>
          </w:p>
        </w:tc>
        <w:tc>
          <w:tcPr>
            <w:tcW w:w="72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7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A-02</w:t>
            </w:r>
          </w:p>
        </w:tc>
        <w:tc>
          <w:tcPr>
            <w:tcW w:w="122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1402</w:t>
            </w:r>
          </w:p>
        </w:tc>
        <w:tc>
          <w:tcPr>
            <w:tcW w:w="7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防护绿地</w:t>
            </w:r>
          </w:p>
        </w:tc>
        <w:tc>
          <w:tcPr>
            <w:tcW w:w="120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1.15</w:t>
            </w:r>
          </w:p>
        </w:tc>
        <w:tc>
          <w:tcPr>
            <w:tcW w:w="10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—</w:t>
            </w:r>
          </w:p>
        </w:tc>
        <w:tc>
          <w:tcPr>
            <w:tcW w:w="96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—</w:t>
            </w:r>
          </w:p>
        </w:tc>
        <w:tc>
          <w:tcPr>
            <w:tcW w:w="9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—</w:t>
            </w:r>
          </w:p>
        </w:tc>
        <w:tc>
          <w:tcPr>
            <w:tcW w:w="122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—</w:t>
            </w:r>
          </w:p>
        </w:tc>
        <w:tc>
          <w:tcPr>
            <w:tcW w:w="72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/>
              </w:rPr>
            </w:pPr>
          </w:p>
        </w:tc>
      </w:tr>
    </w:tbl>
    <w:p>
      <w:pPr>
        <w:numPr>
          <w:ilvl w:val="0"/>
          <w:numId w:val="0"/>
        </w:numPr>
        <w:ind w:firstLine="600"/>
        <w:jc w:val="both"/>
        <w:rPr>
          <w:rFonts w:hint="eastAsia"/>
          <w:color w:val="auto"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ind w:firstLine="600"/>
        <w:jc w:val="both"/>
        <w:rPr>
          <w:rFonts w:hint="eastAsia"/>
          <w:color w:val="auto"/>
          <w:sz w:val="30"/>
          <w:szCs w:val="30"/>
          <w:lang w:val="en-US" w:eastAsia="zh-CN"/>
        </w:rPr>
      </w:pPr>
      <w:r>
        <w:rPr>
          <w:rFonts w:hint="eastAsia"/>
          <w:color w:val="auto"/>
          <w:sz w:val="30"/>
          <w:szCs w:val="30"/>
          <w:lang w:val="en-US" w:eastAsia="zh-CN"/>
        </w:rPr>
        <w:t>该控规于2021年11月8日经大同市人民政府批准同意（同政函【2021】134号）</w:t>
      </w:r>
    </w:p>
    <w:p>
      <w:pPr>
        <w:numPr>
          <w:ilvl w:val="0"/>
          <w:numId w:val="1"/>
        </w:numPr>
        <w:jc w:val="both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《大同市中心城区YD-13单元控制性详细规划方特南侧同文街北侧地块规划调整》</w:t>
      </w:r>
    </w:p>
    <w:p>
      <w:pPr>
        <w:numPr>
          <w:ilvl w:val="0"/>
          <w:numId w:val="0"/>
        </w:numPr>
        <w:ind w:firstLine="600"/>
        <w:jc w:val="both"/>
      </w:pPr>
      <w:r>
        <w:drawing>
          <wp:inline distT="0" distB="0" distL="114300" distR="114300">
            <wp:extent cx="4676140" cy="4225925"/>
            <wp:effectExtent l="0" t="0" r="10160" b="317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76140" cy="422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firstLine="600"/>
        <w:jc w:val="center"/>
        <w:rPr>
          <w:rFonts w:hint="eastAsia"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/>
        </w:rPr>
        <w:t>调整后地块用地</w:t>
      </w:r>
      <w:r>
        <w:rPr>
          <w:rFonts w:hint="eastAsia" w:ascii="宋体" w:hAnsi="宋体"/>
          <w:lang w:eastAsia="zh-CN"/>
        </w:rPr>
        <w:t>规划图</w:t>
      </w:r>
    </w:p>
    <w:p>
      <w:pPr>
        <w:numPr>
          <w:ilvl w:val="0"/>
          <w:numId w:val="0"/>
        </w:numPr>
        <w:ind w:firstLine="600"/>
        <w:jc w:val="both"/>
        <w:rPr>
          <w:rFonts w:hint="eastAsia"/>
          <w:lang w:val="en-US" w:eastAsia="zh-CN"/>
        </w:rPr>
      </w:pPr>
    </w:p>
    <w:p>
      <w:pPr>
        <w:spacing w:line="360" w:lineRule="auto"/>
        <w:ind w:firstLine="480"/>
        <w:jc w:val="center"/>
        <w:rPr>
          <w:rFonts w:hint="eastAsia" w:ascii="宋体" w:hAnsi="宋体"/>
        </w:rPr>
      </w:pPr>
      <w:bookmarkStart w:id="0" w:name="_Toc87033377"/>
      <w:bookmarkStart w:id="1" w:name="_Toc88587674"/>
      <w:bookmarkStart w:id="2" w:name="_Toc87635546"/>
      <w:bookmarkStart w:id="3" w:name="_Toc87279449"/>
      <w:bookmarkStart w:id="4" w:name="_Toc87869582"/>
      <w:bookmarkStart w:id="5" w:name="_Toc88587619"/>
      <w:r>
        <w:rPr>
          <w:rFonts w:hint="eastAsia" w:ascii="宋体" w:hAnsi="宋体"/>
        </w:rPr>
        <w:t>地块控制指标一览表</w:t>
      </w:r>
      <w:bookmarkEnd w:id="0"/>
      <w:bookmarkEnd w:id="1"/>
      <w:bookmarkEnd w:id="2"/>
      <w:bookmarkEnd w:id="3"/>
      <w:bookmarkEnd w:id="4"/>
      <w:bookmarkEnd w:id="5"/>
    </w:p>
    <w:tbl>
      <w:tblPr>
        <w:tblStyle w:val="6"/>
        <w:tblW w:w="500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846"/>
        <w:gridCol w:w="954"/>
        <w:gridCol w:w="964"/>
        <w:gridCol w:w="951"/>
        <w:gridCol w:w="1022"/>
        <w:gridCol w:w="817"/>
        <w:gridCol w:w="846"/>
        <w:gridCol w:w="1022"/>
        <w:gridCol w:w="46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3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地块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编号</w:t>
            </w:r>
          </w:p>
        </w:tc>
        <w:tc>
          <w:tcPr>
            <w:tcW w:w="496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用地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代码</w:t>
            </w:r>
          </w:p>
        </w:tc>
        <w:tc>
          <w:tcPr>
            <w:tcW w:w="56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用地性质</w:t>
            </w:r>
          </w:p>
        </w:tc>
        <w:tc>
          <w:tcPr>
            <w:tcW w:w="565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用地面积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（公顷）</w:t>
            </w:r>
          </w:p>
        </w:tc>
        <w:tc>
          <w:tcPr>
            <w:tcW w:w="557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容积率</w:t>
            </w:r>
          </w:p>
        </w:tc>
        <w:tc>
          <w:tcPr>
            <w:tcW w:w="599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建筑密度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（%）</w:t>
            </w:r>
          </w:p>
        </w:tc>
        <w:tc>
          <w:tcPr>
            <w:tcW w:w="479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绿地率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（%）</w:t>
            </w:r>
          </w:p>
        </w:tc>
        <w:tc>
          <w:tcPr>
            <w:tcW w:w="496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建筑高度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（米）</w:t>
            </w:r>
          </w:p>
        </w:tc>
        <w:tc>
          <w:tcPr>
            <w:tcW w:w="599" w:type="pct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 w:val="21"/>
                <w:szCs w:val="21"/>
              </w:rPr>
              <w:t>商业兼容比（%）</w:t>
            </w:r>
          </w:p>
        </w:tc>
        <w:tc>
          <w:tcPr>
            <w:tcW w:w="272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3" w:type="pct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 w:val="21"/>
                <w:szCs w:val="21"/>
              </w:rPr>
              <w:t>A-01</w:t>
            </w:r>
          </w:p>
        </w:tc>
        <w:tc>
          <w:tcPr>
            <w:tcW w:w="496" w:type="pct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 w:val="21"/>
                <w:szCs w:val="21"/>
              </w:rPr>
              <w:t>070102</w:t>
            </w:r>
          </w:p>
        </w:tc>
        <w:tc>
          <w:tcPr>
            <w:tcW w:w="560" w:type="pct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 w:val="21"/>
                <w:szCs w:val="21"/>
              </w:rPr>
              <w:t>二类城镇住宅用地</w:t>
            </w:r>
          </w:p>
        </w:tc>
        <w:tc>
          <w:tcPr>
            <w:tcW w:w="565" w:type="pct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 w:val="21"/>
                <w:szCs w:val="21"/>
              </w:rPr>
              <w:t>5.96</w:t>
            </w:r>
          </w:p>
        </w:tc>
        <w:tc>
          <w:tcPr>
            <w:tcW w:w="557" w:type="pct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 w:val="21"/>
                <w:szCs w:val="21"/>
              </w:rPr>
              <w:t>1.1-1.4</w:t>
            </w:r>
          </w:p>
        </w:tc>
        <w:tc>
          <w:tcPr>
            <w:tcW w:w="599" w:type="pct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 w:val="21"/>
                <w:szCs w:val="21"/>
              </w:rPr>
              <w:t>28</w:t>
            </w:r>
          </w:p>
        </w:tc>
        <w:tc>
          <w:tcPr>
            <w:tcW w:w="479" w:type="pct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 w:val="21"/>
                <w:szCs w:val="21"/>
              </w:rPr>
              <w:t>35</w:t>
            </w:r>
          </w:p>
        </w:tc>
        <w:tc>
          <w:tcPr>
            <w:tcW w:w="496" w:type="pct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 w:val="21"/>
                <w:szCs w:val="21"/>
              </w:rPr>
              <w:t>24</w:t>
            </w:r>
          </w:p>
        </w:tc>
        <w:tc>
          <w:tcPr>
            <w:tcW w:w="599" w:type="pct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 w:val="21"/>
                <w:szCs w:val="21"/>
              </w:rPr>
              <w:t>5</w:t>
            </w:r>
          </w:p>
        </w:tc>
        <w:tc>
          <w:tcPr>
            <w:tcW w:w="272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3" w:type="pct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 w:val="21"/>
                <w:szCs w:val="21"/>
              </w:rPr>
              <w:t>A-02</w:t>
            </w:r>
          </w:p>
        </w:tc>
        <w:tc>
          <w:tcPr>
            <w:tcW w:w="496" w:type="pct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 w:val="21"/>
                <w:szCs w:val="21"/>
              </w:rPr>
              <w:t>0901</w:t>
            </w:r>
          </w:p>
        </w:tc>
        <w:tc>
          <w:tcPr>
            <w:tcW w:w="560" w:type="pct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 w:val="21"/>
                <w:szCs w:val="21"/>
              </w:rPr>
              <w:t>商业服务业用地</w:t>
            </w:r>
          </w:p>
        </w:tc>
        <w:tc>
          <w:tcPr>
            <w:tcW w:w="565" w:type="pct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 w:val="21"/>
                <w:szCs w:val="21"/>
              </w:rPr>
              <w:t>0.64</w:t>
            </w:r>
          </w:p>
        </w:tc>
        <w:tc>
          <w:tcPr>
            <w:tcW w:w="557" w:type="pct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 w:val="21"/>
                <w:szCs w:val="21"/>
              </w:rPr>
              <w:t>1.2</w:t>
            </w:r>
          </w:p>
        </w:tc>
        <w:tc>
          <w:tcPr>
            <w:tcW w:w="599" w:type="pct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 w:val="21"/>
                <w:szCs w:val="21"/>
              </w:rPr>
              <w:t>30</w:t>
            </w:r>
          </w:p>
        </w:tc>
        <w:tc>
          <w:tcPr>
            <w:tcW w:w="479" w:type="pct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hint="default" w:ascii="宋体" w:hAnsi="宋体" w:cs="宋体"/>
                <w:bCs/>
                <w:kern w:val="0"/>
                <w:sz w:val="21"/>
                <w:szCs w:val="21"/>
              </w:rPr>
              <w:t>20</w:t>
            </w:r>
          </w:p>
        </w:tc>
        <w:tc>
          <w:tcPr>
            <w:tcW w:w="496" w:type="pct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hint="default" w:ascii="宋体" w:hAnsi="宋体" w:cs="宋体"/>
                <w:bCs/>
                <w:kern w:val="0"/>
                <w:sz w:val="21"/>
                <w:szCs w:val="21"/>
              </w:rPr>
              <w:t>18</w:t>
            </w:r>
          </w:p>
        </w:tc>
        <w:tc>
          <w:tcPr>
            <w:tcW w:w="599" w:type="pct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 w:val="21"/>
                <w:szCs w:val="21"/>
              </w:rPr>
              <w:t>—</w:t>
            </w:r>
          </w:p>
        </w:tc>
        <w:tc>
          <w:tcPr>
            <w:tcW w:w="272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3" w:type="pct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 w:val="21"/>
                <w:szCs w:val="21"/>
              </w:rPr>
              <w:t>A-03</w:t>
            </w:r>
          </w:p>
        </w:tc>
        <w:tc>
          <w:tcPr>
            <w:tcW w:w="496" w:type="pct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 w:val="21"/>
                <w:szCs w:val="21"/>
              </w:rPr>
              <w:t>0901</w:t>
            </w:r>
          </w:p>
        </w:tc>
        <w:tc>
          <w:tcPr>
            <w:tcW w:w="560" w:type="pct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 w:val="21"/>
                <w:szCs w:val="21"/>
              </w:rPr>
              <w:t>商业服务业用地</w:t>
            </w:r>
          </w:p>
        </w:tc>
        <w:tc>
          <w:tcPr>
            <w:tcW w:w="565" w:type="pct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 w:val="21"/>
                <w:szCs w:val="21"/>
              </w:rPr>
              <w:t>0.68</w:t>
            </w:r>
          </w:p>
        </w:tc>
        <w:tc>
          <w:tcPr>
            <w:tcW w:w="557" w:type="pct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 w:val="21"/>
                <w:szCs w:val="21"/>
              </w:rPr>
              <w:t>1.2</w:t>
            </w:r>
          </w:p>
        </w:tc>
        <w:tc>
          <w:tcPr>
            <w:tcW w:w="599" w:type="pct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 w:val="21"/>
                <w:szCs w:val="21"/>
              </w:rPr>
              <w:t>30</w:t>
            </w:r>
          </w:p>
        </w:tc>
        <w:tc>
          <w:tcPr>
            <w:tcW w:w="479" w:type="pct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hint="default" w:ascii="宋体" w:hAnsi="宋体" w:cs="宋体"/>
                <w:bCs/>
                <w:kern w:val="0"/>
                <w:sz w:val="21"/>
                <w:szCs w:val="21"/>
              </w:rPr>
              <w:t>20</w:t>
            </w:r>
          </w:p>
        </w:tc>
        <w:tc>
          <w:tcPr>
            <w:tcW w:w="496" w:type="pct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hint="default" w:ascii="宋体" w:hAnsi="宋体" w:cs="宋体"/>
                <w:bCs/>
                <w:kern w:val="0"/>
                <w:sz w:val="21"/>
                <w:szCs w:val="21"/>
              </w:rPr>
              <w:t>18</w:t>
            </w:r>
          </w:p>
        </w:tc>
        <w:tc>
          <w:tcPr>
            <w:tcW w:w="599" w:type="pct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 w:val="21"/>
                <w:szCs w:val="21"/>
              </w:rPr>
              <w:t>—</w:t>
            </w:r>
          </w:p>
        </w:tc>
        <w:tc>
          <w:tcPr>
            <w:tcW w:w="272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3" w:type="pct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 w:val="21"/>
                <w:szCs w:val="21"/>
              </w:rPr>
              <w:t>A-04</w:t>
            </w:r>
          </w:p>
        </w:tc>
        <w:tc>
          <w:tcPr>
            <w:tcW w:w="496" w:type="pct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 w:val="21"/>
                <w:szCs w:val="21"/>
              </w:rPr>
              <w:t>1401</w:t>
            </w:r>
          </w:p>
        </w:tc>
        <w:tc>
          <w:tcPr>
            <w:tcW w:w="560" w:type="pct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 w:val="21"/>
                <w:szCs w:val="21"/>
              </w:rPr>
              <w:t>公园绿地</w:t>
            </w:r>
          </w:p>
        </w:tc>
        <w:tc>
          <w:tcPr>
            <w:tcW w:w="565" w:type="pct"/>
            <w:shd w:val="clear" w:color="auto" w:fill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 w:ascii="宋体" w:hAnsi="宋体" w:cs="宋体"/>
                <w:bCs/>
                <w:kern w:val="0"/>
                <w:sz w:val="21"/>
                <w:szCs w:val="21"/>
              </w:rPr>
              <w:t>1.64</w:t>
            </w:r>
          </w:p>
        </w:tc>
        <w:tc>
          <w:tcPr>
            <w:tcW w:w="557" w:type="pct"/>
            <w:shd w:val="clear" w:color="auto" w:fill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 w:ascii="宋体" w:hAnsi="宋体" w:cs="宋体"/>
                <w:bCs/>
                <w:kern w:val="0"/>
                <w:sz w:val="21"/>
                <w:szCs w:val="21"/>
              </w:rPr>
              <w:t>—</w:t>
            </w:r>
          </w:p>
        </w:tc>
        <w:tc>
          <w:tcPr>
            <w:tcW w:w="599" w:type="pct"/>
            <w:shd w:val="clear" w:color="auto" w:fill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 w:ascii="宋体" w:hAnsi="宋体" w:cs="宋体"/>
                <w:bCs/>
                <w:kern w:val="0"/>
                <w:sz w:val="21"/>
                <w:szCs w:val="21"/>
              </w:rPr>
              <w:t>—</w:t>
            </w:r>
          </w:p>
        </w:tc>
        <w:tc>
          <w:tcPr>
            <w:tcW w:w="479" w:type="pct"/>
            <w:shd w:val="clear" w:color="auto" w:fill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 w:ascii="宋体" w:hAnsi="宋体" w:cs="宋体"/>
                <w:bCs/>
                <w:kern w:val="0"/>
                <w:sz w:val="21"/>
                <w:szCs w:val="21"/>
              </w:rPr>
              <w:t>—</w:t>
            </w:r>
          </w:p>
        </w:tc>
        <w:tc>
          <w:tcPr>
            <w:tcW w:w="496" w:type="pct"/>
            <w:shd w:val="clear" w:color="auto" w:fill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 w:ascii="宋体" w:hAnsi="宋体" w:cs="宋体"/>
                <w:bCs/>
                <w:kern w:val="0"/>
                <w:sz w:val="21"/>
                <w:szCs w:val="21"/>
              </w:rPr>
              <w:t>—</w:t>
            </w:r>
          </w:p>
        </w:tc>
        <w:tc>
          <w:tcPr>
            <w:tcW w:w="599" w:type="pct"/>
            <w:shd w:val="clear" w:color="auto" w:fill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 w:ascii="宋体" w:hAnsi="宋体" w:cs="宋体"/>
                <w:bCs/>
                <w:kern w:val="0"/>
                <w:sz w:val="21"/>
                <w:szCs w:val="21"/>
              </w:rPr>
              <w:t>—</w:t>
            </w:r>
          </w:p>
        </w:tc>
        <w:tc>
          <w:tcPr>
            <w:tcW w:w="272" w:type="pct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 w:ascii="宋体" w:hAnsi="宋体" w:cs="宋体"/>
                <w:bCs/>
                <w:kern w:val="0"/>
                <w:sz w:val="21"/>
                <w:szCs w:val="21"/>
              </w:rPr>
              <w:t>—</w:t>
            </w:r>
          </w:p>
        </w:tc>
      </w:tr>
    </w:tbl>
    <w:p>
      <w:pPr>
        <w:numPr>
          <w:ilvl w:val="0"/>
          <w:numId w:val="0"/>
        </w:numPr>
        <w:ind w:firstLine="600"/>
        <w:jc w:val="both"/>
        <w:rPr>
          <w:rFonts w:hint="eastAsia"/>
          <w:color w:val="auto"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ind w:firstLine="600"/>
        <w:jc w:val="both"/>
        <w:rPr>
          <w:rFonts w:hint="eastAsia"/>
          <w:color w:val="auto"/>
          <w:sz w:val="30"/>
          <w:szCs w:val="30"/>
          <w:lang w:val="en-US" w:eastAsia="zh-CN"/>
        </w:rPr>
      </w:pPr>
      <w:r>
        <w:rPr>
          <w:rFonts w:hint="eastAsia"/>
          <w:color w:val="auto"/>
          <w:sz w:val="30"/>
          <w:szCs w:val="30"/>
          <w:lang w:val="en-US" w:eastAsia="zh-CN"/>
        </w:rPr>
        <w:t>该控规于2021年11月25日经大同市人民政府批准同意（同政函【2021】135号）</w:t>
      </w:r>
    </w:p>
    <w:p>
      <w:pPr>
        <w:numPr>
          <w:ilvl w:val="0"/>
          <w:numId w:val="0"/>
        </w:numPr>
        <w:ind w:firstLine="600"/>
        <w:jc w:val="both"/>
        <w:rPr>
          <w:rFonts w:hint="eastAsia"/>
          <w:lang w:val="en-US" w:eastAsia="zh-CN"/>
        </w:rPr>
      </w:pPr>
    </w:p>
    <w:p>
      <w:pPr>
        <w:numPr>
          <w:ilvl w:val="0"/>
          <w:numId w:val="1"/>
        </w:numPr>
        <w:jc w:val="both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《大同市中心城区CQ-17单元控制性详细规划CQ-17-D-01地块规划编制》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宋体" w:hAnsi="宋体"/>
          <w:lang w:eastAsia="zh-CN"/>
        </w:rPr>
        <w:drawing>
          <wp:inline distT="0" distB="0" distL="114300" distR="114300">
            <wp:extent cx="5093970" cy="3024505"/>
            <wp:effectExtent l="9525" t="9525" r="20955" b="13970"/>
            <wp:docPr id="2" name="图片 1" descr="D:\工作成果\2020工作\01 控规\01 CQ-17-D-01  医疗用地\出图\调整后.jpg调整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D:\工作成果\2020工作\01 控规\01 CQ-17-D-01  医疗用地\出图\调整后.jpg调整后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93970" cy="3024505"/>
                    </a:xfrm>
                    <a:prstGeom prst="rect">
                      <a:avLst/>
                    </a:prstGeom>
                    <a:noFill/>
                    <a:ln w="0" cap="flat" cmpd="sng">
                      <a:solidFill>
                        <a:srgbClr val="000000"/>
                      </a:solidFill>
                      <a:prstDash val="solid"/>
                      <a:miter/>
                      <a:headEnd type="none" w="med" len="med"/>
                      <a:tailEnd type="none" w="med" len="med"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firstLine="600"/>
        <w:jc w:val="center"/>
        <w:rPr>
          <w:rFonts w:hint="eastAsia"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/>
        </w:rPr>
        <w:t>调整后地块用地</w:t>
      </w:r>
      <w:r>
        <w:rPr>
          <w:rFonts w:hint="eastAsia" w:ascii="宋体" w:hAnsi="宋体"/>
          <w:lang w:eastAsia="zh-CN"/>
        </w:rPr>
        <w:t>规划图</w:t>
      </w:r>
    </w:p>
    <w:p>
      <w:pPr>
        <w:spacing w:line="360" w:lineRule="auto"/>
        <w:ind w:firstLine="480"/>
        <w:jc w:val="center"/>
        <w:rPr>
          <w:rFonts w:hint="eastAsia" w:ascii="宋体" w:hAnsi="宋体"/>
        </w:rPr>
      </w:pPr>
      <w:r>
        <w:rPr>
          <w:rFonts w:hint="eastAsia" w:ascii="宋体" w:hAnsi="宋体"/>
        </w:rPr>
        <w:t>地块控制性指标一览表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000000" w:sz="4" w:space="0"/>
          <w:right w:val="single" w:color="000000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6"/>
        <w:gridCol w:w="737"/>
        <w:gridCol w:w="1028"/>
        <w:gridCol w:w="1063"/>
        <w:gridCol w:w="1012"/>
        <w:gridCol w:w="1200"/>
        <w:gridCol w:w="891"/>
        <w:gridCol w:w="1141"/>
        <w:gridCol w:w="1"/>
      </w:tblGrid>
      <w:tr>
        <w:tblPrEx>
          <w:tblBorders>
            <w:top w:val="single" w:color="auto" w:sz="4" w:space="0"/>
            <w:left w:val="single" w:color="auto" w:sz="4" w:space="0"/>
            <w:bottom w:val="single" w:color="000000" w:sz="4" w:space="0"/>
            <w:right w:val="single" w:color="000000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tblHeader/>
          <w:jc w:val="center"/>
        </w:trPr>
        <w:tc>
          <w:tcPr>
            <w:tcW w:w="1446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default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cs="宋体"/>
                <w:b/>
                <w:bCs/>
                <w:kern w:val="0"/>
                <w:sz w:val="21"/>
                <w:szCs w:val="21"/>
              </w:rPr>
              <w:t>地块</w:t>
            </w:r>
            <w:r>
              <w:rPr>
                <w:rFonts w:hint="eastAsia" w:cs="宋体"/>
                <w:b/>
                <w:bCs/>
                <w:kern w:val="0"/>
                <w:sz w:val="21"/>
                <w:szCs w:val="21"/>
                <w:lang w:eastAsia="zh-CN"/>
              </w:rPr>
              <w:t>编号</w:t>
            </w:r>
          </w:p>
        </w:tc>
        <w:tc>
          <w:tcPr>
            <w:tcW w:w="176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default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cs="宋体"/>
                <w:b/>
                <w:bCs/>
                <w:kern w:val="0"/>
                <w:sz w:val="21"/>
                <w:szCs w:val="21"/>
              </w:rPr>
              <w:t>用地性质</w:t>
            </w:r>
          </w:p>
        </w:tc>
        <w:tc>
          <w:tcPr>
            <w:tcW w:w="1063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default"/>
                <w:b/>
                <w:sz w:val="21"/>
                <w:szCs w:val="21"/>
              </w:rPr>
            </w:pPr>
            <w:r>
              <w:rPr>
                <w:rFonts w:hint="eastAsia" w:cs="宋体"/>
                <w:b/>
                <w:bCs/>
                <w:kern w:val="0"/>
                <w:sz w:val="21"/>
                <w:szCs w:val="21"/>
                <w:lang w:eastAsia="zh-CN"/>
              </w:rPr>
              <w:t>用地</w:t>
            </w:r>
            <w:r>
              <w:rPr>
                <w:rFonts w:hint="eastAsia" w:cs="宋体"/>
                <w:b/>
                <w:bCs/>
                <w:kern w:val="0"/>
                <w:sz w:val="21"/>
                <w:szCs w:val="21"/>
              </w:rPr>
              <w:t>面积</w:t>
            </w:r>
            <w:r>
              <w:rPr>
                <w:rFonts w:hint="default" w:ascii="宋体" w:hAnsi="宋体"/>
                <w:b/>
                <w:sz w:val="24"/>
                <w:shd w:val="clear" w:color="auto" w:fill="auto"/>
              </w:rPr>
              <w:t>（㎡）</w:t>
            </w:r>
          </w:p>
        </w:tc>
        <w:tc>
          <w:tcPr>
            <w:tcW w:w="1012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eastAsia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容积率</w:t>
            </w:r>
          </w:p>
        </w:tc>
        <w:tc>
          <w:tcPr>
            <w:tcW w:w="120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/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建筑密度（%）</w:t>
            </w:r>
          </w:p>
        </w:tc>
        <w:tc>
          <w:tcPr>
            <w:tcW w:w="891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/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绿地率（%）</w:t>
            </w:r>
          </w:p>
        </w:tc>
        <w:tc>
          <w:tcPr>
            <w:tcW w:w="1142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/>
                <w:b/>
                <w:color w:val="auto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建筑限高（</w:t>
            </w:r>
            <w:r>
              <w:rPr>
                <w:rFonts w:hint="eastAsia"/>
                <w:b/>
                <w:bCs/>
                <w:color w:val="auto"/>
                <w:szCs w:val="21"/>
                <w:lang w:val="en-US" w:eastAsia="zh-CN"/>
              </w:rPr>
              <w:t>m</w:t>
            </w:r>
            <w:r>
              <w:rPr>
                <w:rFonts w:hint="eastAsia"/>
                <w:b/>
                <w:bCs/>
                <w:color w:val="auto"/>
                <w:szCs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000000" w:sz="4" w:space="0"/>
            <w:right w:val="single" w:color="000000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" w:hRule="atLeast"/>
          <w:tblHeader/>
          <w:jc w:val="center"/>
        </w:trPr>
        <w:tc>
          <w:tcPr>
            <w:tcW w:w="144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default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73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rPr>
                <w:rFonts w:hint="default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cs="宋体"/>
                <w:b/>
                <w:bCs/>
                <w:kern w:val="0"/>
                <w:sz w:val="21"/>
                <w:szCs w:val="21"/>
              </w:rPr>
              <w:t>代码</w:t>
            </w:r>
          </w:p>
        </w:tc>
        <w:tc>
          <w:tcPr>
            <w:tcW w:w="102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default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cs="宋体"/>
                <w:b/>
                <w:bCs/>
                <w:kern w:val="0"/>
                <w:sz w:val="21"/>
                <w:szCs w:val="21"/>
              </w:rPr>
              <w:t>名称</w:t>
            </w:r>
          </w:p>
        </w:tc>
        <w:tc>
          <w:tcPr>
            <w:tcW w:w="106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default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1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default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20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/>
                <w:b/>
                <w:sz w:val="21"/>
                <w:szCs w:val="21"/>
              </w:rPr>
            </w:pPr>
          </w:p>
        </w:tc>
        <w:tc>
          <w:tcPr>
            <w:tcW w:w="89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/>
                <w:b/>
                <w:sz w:val="21"/>
                <w:szCs w:val="21"/>
              </w:rPr>
            </w:pPr>
          </w:p>
        </w:tc>
        <w:tc>
          <w:tcPr>
            <w:tcW w:w="1142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/>
                <w:b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000000" w:sz="4" w:space="0"/>
            <w:right w:val="single" w:color="000000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675" w:hRule="atLeast"/>
          <w:jc w:val="center"/>
        </w:trPr>
        <w:tc>
          <w:tcPr>
            <w:tcW w:w="144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CQ-17-D-01</w:t>
            </w:r>
          </w:p>
        </w:tc>
        <w:tc>
          <w:tcPr>
            <w:tcW w:w="73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eastAsia" w:ascii="宋体" w:hAnsi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A5</w:t>
            </w:r>
          </w:p>
        </w:tc>
        <w:tc>
          <w:tcPr>
            <w:tcW w:w="102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eastAsia" w:ascii="宋体" w:hAnsi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医疗卫生用地</w:t>
            </w:r>
          </w:p>
        </w:tc>
        <w:tc>
          <w:tcPr>
            <w:tcW w:w="106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eastAsia" w:ascii="宋体" w:hAnsi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133261</w:t>
            </w:r>
          </w:p>
        </w:tc>
        <w:tc>
          <w:tcPr>
            <w:tcW w:w="101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eastAsia" w:ascii="宋体" w:hAnsi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≤2.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0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eastAsia" w:ascii="宋体" w:hAnsi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color w:val="auto"/>
                <w:szCs w:val="21"/>
              </w:rPr>
              <w:t>≤2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5</w:t>
            </w:r>
          </w:p>
        </w:tc>
        <w:tc>
          <w:tcPr>
            <w:tcW w:w="89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≥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35</w:t>
            </w:r>
          </w:p>
        </w:tc>
        <w:tc>
          <w:tcPr>
            <w:tcW w:w="114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eastAsia" w:ascii="宋体" w:hAnsi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≤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50</w:t>
            </w:r>
          </w:p>
        </w:tc>
      </w:tr>
    </w:tbl>
    <w:p>
      <w:pPr>
        <w:numPr>
          <w:ilvl w:val="0"/>
          <w:numId w:val="0"/>
        </w:numPr>
        <w:ind w:firstLine="600"/>
        <w:jc w:val="both"/>
        <w:rPr>
          <w:rFonts w:hint="eastAsia"/>
          <w:color w:val="auto"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ind w:firstLine="600"/>
        <w:jc w:val="both"/>
        <w:rPr>
          <w:rFonts w:hint="eastAsia"/>
          <w:color w:val="auto"/>
          <w:sz w:val="30"/>
          <w:szCs w:val="30"/>
          <w:lang w:val="en-US" w:eastAsia="zh-CN"/>
        </w:rPr>
      </w:pPr>
      <w:r>
        <w:rPr>
          <w:rFonts w:hint="eastAsia"/>
          <w:color w:val="auto"/>
          <w:sz w:val="30"/>
          <w:szCs w:val="30"/>
          <w:lang w:val="en-US" w:eastAsia="zh-CN"/>
        </w:rPr>
        <w:t>该控规于2021年11月25日经大同市人民政府批准同意（同政函【2021】136号）</w:t>
      </w:r>
    </w:p>
    <w:p>
      <w:pPr>
        <w:numPr>
          <w:ilvl w:val="0"/>
          <w:numId w:val="0"/>
        </w:numPr>
        <w:ind w:firstLine="600"/>
        <w:jc w:val="both"/>
        <w:rPr>
          <w:rFonts w:hint="eastAsia"/>
          <w:color w:val="auto"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jc w:val="center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3081CF"/>
    <w:multiLevelType w:val="singleLevel"/>
    <w:tmpl w:val="613081CF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D05717"/>
    <w:rsid w:val="01687224"/>
    <w:rsid w:val="043F300C"/>
    <w:rsid w:val="05C151A9"/>
    <w:rsid w:val="05DE6C39"/>
    <w:rsid w:val="068B0BA8"/>
    <w:rsid w:val="072E3274"/>
    <w:rsid w:val="078C36AB"/>
    <w:rsid w:val="09B25A95"/>
    <w:rsid w:val="0C216E6D"/>
    <w:rsid w:val="0F2E5EEF"/>
    <w:rsid w:val="1094654A"/>
    <w:rsid w:val="12A90283"/>
    <w:rsid w:val="1B610803"/>
    <w:rsid w:val="1DEA5C29"/>
    <w:rsid w:val="1E77009A"/>
    <w:rsid w:val="22706F10"/>
    <w:rsid w:val="246D4B62"/>
    <w:rsid w:val="258573F8"/>
    <w:rsid w:val="273C20D9"/>
    <w:rsid w:val="2BD05717"/>
    <w:rsid w:val="311C4B38"/>
    <w:rsid w:val="34021428"/>
    <w:rsid w:val="3BB42AA4"/>
    <w:rsid w:val="3E98118A"/>
    <w:rsid w:val="415862AA"/>
    <w:rsid w:val="44536DA9"/>
    <w:rsid w:val="463514C0"/>
    <w:rsid w:val="491A2FFB"/>
    <w:rsid w:val="4CF65E3B"/>
    <w:rsid w:val="501C4C37"/>
    <w:rsid w:val="52360401"/>
    <w:rsid w:val="546B361B"/>
    <w:rsid w:val="558A3769"/>
    <w:rsid w:val="56DA5028"/>
    <w:rsid w:val="57A646D5"/>
    <w:rsid w:val="5A490E37"/>
    <w:rsid w:val="5CE86019"/>
    <w:rsid w:val="61092EB9"/>
    <w:rsid w:val="612F2800"/>
    <w:rsid w:val="61510D87"/>
    <w:rsid w:val="61B612E0"/>
    <w:rsid w:val="6BFD5CA0"/>
    <w:rsid w:val="6CE747D8"/>
    <w:rsid w:val="6D652257"/>
    <w:rsid w:val="753E4467"/>
    <w:rsid w:val="77717272"/>
    <w:rsid w:val="791D431F"/>
    <w:rsid w:val="7B6C1BB0"/>
    <w:rsid w:val="7E1466B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200" w:after="200" w:line="360" w:lineRule="auto"/>
      <w:jc w:val="center"/>
      <w:outlineLvl w:val="0"/>
    </w:pPr>
    <w:rPr>
      <w:rFonts w:eastAsia="黑体"/>
      <w:b/>
      <w:bCs/>
      <w:kern w:val="44"/>
      <w:sz w:val="30"/>
      <w:szCs w:val="44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eastAsia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rPr>
      <w:rFonts w:ascii="宋体" w:hAnsi="Courier New"/>
      <w:sz w:val="21"/>
      <w:szCs w:val="21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Office_11.1.0.9564_F1E327BC-269C-435d-A152-05C5408002CA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2021-09-02T07:11:00Z</dcterms:created>
  <dc:creator>马妍</dc:creator>
  <cp:lastModifiedBy>田建文</cp:lastModifiedBy>
  <dcterms:modified xsi:type="dcterms:W3CDTF">2022-01-18T02:04:21Z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  <property fmtid="{D5CDD505-2E9C-101B-9397-08002B2CF9AE}" pid="3" name="ICV">
    <vt:lpwstr>DE90C857BC16490E983A80B6D7AB6F8E</vt:lpwstr>
  </property>
</Properties>
</file>