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大同市农业农村局其他行政执法行为实施情况统计表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01"/>
        <w:gridCol w:w="852"/>
        <w:gridCol w:w="623"/>
        <w:gridCol w:w="841"/>
        <w:gridCol w:w="633"/>
        <w:gridCol w:w="864"/>
        <w:gridCol w:w="829"/>
        <w:gridCol w:w="743"/>
        <w:gridCol w:w="863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行政征收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行政裁决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行政给付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行政奖励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总金额（万元）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涉及金额（万元）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给付总金额（万元）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奖励总金额（万元）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6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1、“行政征收次数”“行政裁决次数”“行政确认次数”“行政奖励次数”“行政给付次数”“其他行政执法行为”的统计范围为统计年度1月1日至12月31日期间完成的数量。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ZDgxN2EzYmY2NDgwYTE4Zjg0OTE1NzVhNjc2NzgifQ=="/>
  </w:docVars>
  <w:rsids>
    <w:rsidRoot w:val="00000000"/>
    <w:rsid w:val="632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2023-02-03T03:31:48Z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B8D65E1B329D46008412D4AA0669A8F7</vt:lpwstr>
  </property>
</Properties>
</file>