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表一：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大同市农业农村局行政处罚实施情况统计表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994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90"/>
        <w:gridCol w:w="580"/>
        <w:gridCol w:w="760"/>
        <w:gridCol w:w="590"/>
        <w:gridCol w:w="530"/>
        <w:gridCol w:w="640"/>
        <w:gridCol w:w="680"/>
        <w:gridCol w:w="660"/>
        <w:gridCol w:w="680"/>
        <w:gridCol w:w="690"/>
        <w:gridCol w:w="800"/>
        <w:gridCol w:w="79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94" w:type="dxa"/>
            <w:gridSpan w:val="14"/>
          </w:tcPr>
          <w:p>
            <w:pPr>
              <w:tabs>
                <w:tab w:val="left" w:pos="3352"/>
              </w:tabs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警告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通报批评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罚款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没收违法所得、没收非法财物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暂扣许可证件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降低资质等级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限制开展生产经营活动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责令停产停业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责令关闭、限制从业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吊销许可证件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行政拘留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其他行政处罚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合计（宗）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罚没金额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76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</w:p>
        </w:tc>
        <w:tc>
          <w:tcPr>
            <w:tcW w:w="64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</w:p>
        </w:tc>
        <w:tc>
          <w:tcPr>
            <w:tcW w:w="68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11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15398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1、行政处罚实施数量的统计范围为统计年度1月1日至12月31日期间作出行政处罚决定的数量。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通报批评（3）罚款，（4）没收违法所得、没收非法财物，（5）暂扣许可证件，（6）降低资质等级，（7）限制开展生产经营活动，（8）责令停产停业，（9）责令关闭、限制从业，（10）吊销许可证件，（11）行政拘留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3、“没收违法所得、没收非法财物”能确定金额的，计入“罚没金额”；不能确定金额的，不计入“罚没金额”。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4、“罚没金额”以处罚决定书确定的金额为准。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ZDgxN2EzYmY2NDgwYTE4Zjg0OTE1NzVhNjc2NzgifQ=="/>
  </w:docVars>
  <w:rsids>
    <w:rsidRoot w:val="0CD368BA"/>
    <w:rsid w:val="0CD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2024-01-25T01:52:00Z</dcterms:created>
  <dc:creator>尼古拉斯</dc:creator>
  <cp:lastModifiedBy>尼古拉斯</cp:lastModifiedBy>
  <dcterms:modified xsi:type="dcterms:W3CDTF">2024-01-25T01:53:08Z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7F36DB468CFC4469A2095FD57DA5396F_11</vt:lpwstr>
  </property>
</Properties>
</file>