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60" w:lineRule="exact"/>
        <w:jc w:val="center"/>
        <w:rPr>
          <w:sz w:val="44"/>
          <w:szCs w:val="44"/>
        </w:rPr>
      </w:pPr>
      <w:r>
        <w:rPr>
          <w:rFonts w:hint="eastAsia"/>
          <w:color w:val="000000"/>
          <w:sz w:val="44"/>
          <w:szCs w:val="44"/>
        </w:rPr>
        <w:t>大同市市场监管领域营商环境创新提升改革任务清单</w:t>
      </w:r>
    </w:p>
    <w:p>
      <w:pPr>
        <w:spacing w:after="500" w:line="680" w:lineRule="exact"/>
        <w:jc w:val="center"/>
        <w:rPr>
          <w:rFonts w:ascii="宋体" w:cs="宋体"/>
          <w:sz w:val="44"/>
          <w:szCs w:val="44"/>
        </w:rPr>
      </w:pPr>
      <w:r>
        <w:rPr>
          <w:rFonts w:hint="eastAsia" w:ascii="宋体" w:hAnsi="宋体" w:cs="宋体"/>
          <w:color w:val="000000"/>
          <w:sz w:val="44"/>
          <w:szCs w:val="44"/>
        </w:rPr>
        <w:t>（共</w:t>
      </w:r>
      <w:r>
        <w:rPr>
          <w:rFonts w:hint="eastAsia" w:ascii="宋体" w:hAnsi="宋体" w:cs="宋体"/>
          <w:color w:val="000000"/>
          <w:sz w:val="44"/>
          <w:szCs w:val="44"/>
          <w:lang w:val="en-US" w:eastAsia="zh-CN"/>
        </w:rPr>
        <w:t>32</w:t>
      </w:r>
      <w:r>
        <w:rPr>
          <w:rFonts w:hint="eastAsia" w:ascii="宋体" w:hAnsi="宋体" w:cs="宋体"/>
          <w:color w:val="000000"/>
          <w:sz w:val="44"/>
          <w:szCs w:val="44"/>
        </w:rPr>
        <w:t>条改革事项，标＊的为贯彻落实国家有关任务的具体工作措施）</w:t>
      </w:r>
    </w:p>
    <w:tbl>
      <w:tblPr>
        <w:tblStyle w:val="4"/>
        <w:tblW w:w="14423"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6"/>
        <w:gridCol w:w="1742"/>
        <w:gridCol w:w="1425"/>
        <w:gridCol w:w="5101"/>
        <w:gridCol w:w="1265"/>
        <w:gridCol w:w="1313"/>
        <w:gridCol w:w="1303"/>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96" w:type="dxa"/>
            <w:vMerge w:val="restart"/>
            <w:vAlign w:val="center"/>
          </w:tcPr>
          <w:p>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序号</w:t>
            </w:r>
          </w:p>
        </w:tc>
        <w:tc>
          <w:tcPr>
            <w:tcW w:w="1742" w:type="dxa"/>
            <w:vMerge w:val="restart"/>
            <w:vAlign w:val="center"/>
          </w:tcPr>
          <w:p>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改革事项</w:t>
            </w:r>
          </w:p>
        </w:tc>
        <w:tc>
          <w:tcPr>
            <w:tcW w:w="1425" w:type="dxa"/>
            <w:vMerge w:val="restart"/>
            <w:vAlign w:val="center"/>
          </w:tcPr>
          <w:p>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责任科室</w:t>
            </w:r>
          </w:p>
        </w:tc>
        <w:tc>
          <w:tcPr>
            <w:tcW w:w="5101" w:type="dxa"/>
            <w:vMerge w:val="restart"/>
            <w:vAlign w:val="center"/>
          </w:tcPr>
          <w:p>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具体工作措施</w:t>
            </w:r>
          </w:p>
        </w:tc>
        <w:tc>
          <w:tcPr>
            <w:tcW w:w="3881" w:type="dxa"/>
            <w:gridSpan w:val="3"/>
            <w:vAlign w:val="center"/>
          </w:tcPr>
          <w:p>
            <w:pPr>
              <w:spacing w:line="450" w:lineRule="exact"/>
              <w:jc w:val="center"/>
              <w:rPr>
                <w:rFonts w:ascii="黑体" w:hAnsi="黑体" w:eastAsia="黑体" w:cs="黑体"/>
                <w:sz w:val="32"/>
                <w:szCs w:val="32"/>
              </w:rPr>
            </w:pPr>
            <w:r>
              <w:rPr>
                <w:rFonts w:hint="eastAsia" w:ascii="黑体" w:hAnsi="黑体" w:eastAsia="黑体" w:cs="黑体"/>
                <w:color w:val="000000"/>
                <w:sz w:val="32"/>
                <w:szCs w:val="32"/>
              </w:rPr>
              <w:t>时序进度</w:t>
            </w:r>
          </w:p>
        </w:tc>
        <w:tc>
          <w:tcPr>
            <w:tcW w:w="1578" w:type="dxa"/>
            <w:vMerge w:val="restart"/>
            <w:vAlign w:val="center"/>
          </w:tcPr>
          <w:p>
            <w:pPr>
              <w:spacing w:line="460" w:lineRule="exact"/>
              <w:jc w:val="center"/>
            </w:pPr>
            <w:r>
              <w:rPr>
                <w:rFonts w:hint="eastAsia" w:ascii="黑体" w:hAnsi="黑体" w:eastAsia="黑体" w:cs="黑体"/>
                <w:color w:val="000000"/>
                <w:sz w:val="32"/>
                <w:szCs w:val="32"/>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696" w:type="dxa"/>
            <w:vMerge w:val="continue"/>
          </w:tcPr>
          <w:p/>
        </w:tc>
        <w:tc>
          <w:tcPr>
            <w:tcW w:w="1742" w:type="dxa"/>
            <w:vMerge w:val="continue"/>
          </w:tcPr>
          <w:p/>
        </w:tc>
        <w:tc>
          <w:tcPr>
            <w:tcW w:w="1425" w:type="dxa"/>
            <w:vMerge w:val="continue"/>
          </w:tcPr>
          <w:p/>
        </w:tc>
        <w:tc>
          <w:tcPr>
            <w:tcW w:w="5101" w:type="dxa"/>
            <w:vMerge w:val="continue"/>
          </w:tcPr>
          <w:p/>
        </w:tc>
        <w:tc>
          <w:tcPr>
            <w:tcW w:w="1265" w:type="dxa"/>
            <w:vAlign w:val="center"/>
          </w:tcPr>
          <w:p>
            <w:pPr>
              <w:spacing w:line="480" w:lineRule="exact"/>
              <w:jc w:val="center"/>
              <w:rPr>
                <w:rFonts w:ascii="黑体" w:hAnsi="黑体" w:eastAsia="黑体" w:cs="黑体"/>
                <w:sz w:val="28"/>
                <w:szCs w:val="28"/>
              </w:rPr>
            </w:pPr>
            <w:r>
              <w:rPr>
                <w:rFonts w:ascii="黑体" w:hAnsi="黑体" w:eastAsia="黑体" w:cs="黑体"/>
                <w:color w:val="000000"/>
                <w:sz w:val="28"/>
                <w:szCs w:val="28"/>
              </w:rPr>
              <w:t>202</w:t>
            </w:r>
            <w:r>
              <w:rPr>
                <w:rFonts w:hint="eastAsia" w:ascii="黑体" w:hAnsi="黑体" w:eastAsia="黑体" w:cs="黑体"/>
                <w:color w:val="000000"/>
                <w:sz w:val="28"/>
                <w:szCs w:val="28"/>
                <w:lang w:val="en-US" w:eastAsia="zh-CN"/>
              </w:rPr>
              <w:t>3</w:t>
            </w:r>
            <w:r>
              <w:rPr>
                <w:rFonts w:hint="eastAsia" w:ascii="黑体" w:hAnsi="黑体" w:eastAsia="黑体" w:cs="黑体"/>
                <w:color w:val="000000"/>
                <w:sz w:val="28"/>
                <w:szCs w:val="28"/>
              </w:rPr>
              <w:t>年底</w:t>
            </w:r>
          </w:p>
        </w:tc>
        <w:tc>
          <w:tcPr>
            <w:tcW w:w="1313" w:type="dxa"/>
            <w:vAlign w:val="center"/>
          </w:tcPr>
          <w:p>
            <w:pPr>
              <w:spacing w:line="440" w:lineRule="exact"/>
              <w:jc w:val="center"/>
              <w:rPr>
                <w:rFonts w:ascii="黑体" w:hAnsi="黑体" w:eastAsia="黑体" w:cs="黑体"/>
                <w:sz w:val="28"/>
                <w:szCs w:val="28"/>
              </w:rPr>
            </w:pPr>
            <w:r>
              <w:rPr>
                <w:rFonts w:ascii="黑体" w:hAnsi="黑体" w:eastAsia="黑体" w:cs="黑体"/>
                <w:color w:val="000000"/>
                <w:sz w:val="28"/>
                <w:szCs w:val="28"/>
              </w:rPr>
              <w:t>202</w:t>
            </w:r>
            <w:r>
              <w:rPr>
                <w:rFonts w:hint="eastAsia" w:ascii="黑体" w:hAnsi="黑体" w:eastAsia="黑体" w:cs="黑体"/>
                <w:color w:val="000000"/>
                <w:sz w:val="28"/>
                <w:szCs w:val="28"/>
                <w:lang w:val="en-US" w:eastAsia="zh-CN"/>
              </w:rPr>
              <w:t>4</w:t>
            </w:r>
            <w:r>
              <w:rPr>
                <w:rFonts w:hint="eastAsia" w:ascii="黑体" w:hAnsi="黑体" w:eastAsia="黑体" w:cs="黑体"/>
                <w:color w:val="000000"/>
                <w:sz w:val="28"/>
                <w:szCs w:val="28"/>
              </w:rPr>
              <w:t>年底</w:t>
            </w:r>
          </w:p>
        </w:tc>
        <w:tc>
          <w:tcPr>
            <w:tcW w:w="1303" w:type="dxa"/>
            <w:vAlign w:val="center"/>
          </w:tcPr>
          <w:p>
            <w:pPr>
              <w:spacing w:line="440" w:lineRule="exact"/>
              <w:jc w:val="center"/>
              <w:rPr>
                <w:rFonts w:ascii="黑体" w:hAnsi="黑体" w:eastAsia="黑体" w:cs="黑体"/>
                <w:sz w:val="28"/>
                <w:szCs w:val="28"/>
              </w:rPr>
            </w:pPr>
            <w:r>
              <w:rPr>
                <w:rFonts w:ascii="黑体" w:hAnsi="黑体" w:eastAsia="黑体" w:cs="黑体"/>
                <w:color w:val="000000"/>
                <w:sz w:val="28"/>
                <w:szCs w:val="28"/>
              </w:rPr>
              <w:t>2025</w:t>
            </w:r>
            <w:r>
              <w:rPr>
                <w:rFonts w:hint="eastAsia" w:ascii="黑体" w:hAnsi="黑体" w:eastAsia="黑体" w:cs="黑体"/>
                <w:color w:val="000000"/>
                <w:sz w:val="28"/>
                <w:szCs w:val="28"/>
              </w:rPr>
              <w:t>年底</w:t>
            </w:r>
          </w:p>
        </w:tc>
        <w:tc>
          <w:tcPr>
            <w:tcW w:w="15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42" w:type="dxa"/>
          </w:tcPr>
          <w:p>
            <w:pPr>
              <w:spacing w:before="1399" w:line="300" w:lineRule="exact"/>
              <w:jc w:val="both"/>
              <w:rPr>
                <w:rFonts w:ascii="仿宋" w:hAnsi="仿宋" w:eastAsia="仿宋" w:cs="仿宋"/>
                <w:sz w:val="24"/>
                <w:szCs w:val="24"/>
              </w:rPr>
            </w:pPr>
            <w:r>
              <w:rPr>
                <w:rFonts w:hint="eastAsia" w:ascii="仿宋" w:hAnsi="仿宋" w:eastAsia="仿宋" w:cs="仿宋"/>
                <w:color w:val="000000"/>
                <w:sz w:val="24"/>
                <w:szCs w:val="24"/>
              </w:rPr>
              <w:t>完善公平竞争审</w:t>
            </w:r>
          </w:p>
          <w:p>
            <w:pPr>
              <w:spacing w:line="318" w:lineRule="exact"/>
              <w:jc w:val="center"/>
              <w:rPr>
                <w:rFonts w:ascii="仿宋" w:hAnsi="仿宋" w:eastAsia="仿宋" w:cs="仿宋"/>
                <w:sz w:val="24"/>
                <w:szCs w:val="24"/>
              </w:rPr>
            </w:pPr>
            <w:r>
              <w:rPr>
                <w:rFonts w:hint="eastAsia" w:ascii="仿宋" w:hAnsi="仿宋" w:eastAsia="仿宋" w:cs="仿宋"/>
                <w:color w:val="000000"/>
                <w:sz w:val="24"/>
                <w:szCs w:val="24"/>
              </w:rPr>
              <w:t>查机制，推进实</w:t>
            </w:r>
          </w:p>
          <w:p>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施第三方评估，</w:t>
            </w:r>
          </w:p>
          <w:p>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加大反垄断、反</w:t>
            </w:r>
          </w:p>
          <w:p>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不正当竞争执法</w:t>
            </w:r>
          </w:p>
          <w:p>
            <w:pPr>
              <w:spacing w:line="340" w:lineRule="exact"/>
              <w:ind w:left="140"/>
              <w:rPr>
                <w:rFonts w:ascii="仿宋" w:hAnsi="仿宋" w:eastAsia="仿宋" w:cs="仿宋"/>
                <w:sz w:val="24"/>
                <w:szCs w:val="24"/>
              </w:rPr>
            </w:pPr>
            <w:r>
              <w:rPr>
                <w:rFonts w:hint="eastAsia" w:ascii="仿宋" w:hAnsi="仿宋" w:eastAsia="仿宋" w:cs="仿宋"/>
                <w:color w:val="000000"/>
                <w:sz w:val="24"/>
                <w:szCs w:val="24"/>
              </w:rPr>
              <w:t>力度</w:t>
            </w:r>
          </w:p>
        </w:tc>
        <w:tc>
          <w:tcPr>
            <w:tcW w:w="1425" w:type="dxa"/>
            <w:vAlign w:val="center"/>
          </w:tcPr>
          <w:p>
            <w:pPr>
              <w:spacing w:line="450" w:lineRule="exact"/>
              <w:jc w:val="center"/>
              <w:rPr>
                <w:rFonts w:ascii="仿宋" w:hAnsi="仿宋" w:eastAsia="仿宋" w:cs="仿宋"/>
                <w:sz w:val="24"/>
                <w:szCs w:val="24"/>
              </w:rPr>
            </w:pPr>
            <w:r>
              <w:rPr>
                <w:rFonts w:hint="eastAsia" w:ascii="仿宋" w:hAnsi="仿宋" w:eastAsia="仿宋" w:cs="仿宋"/>
                <w:color w:val="000000"/>
                <w:sz w:val="24"/>
                <w:szCs w:val="24"/>
              </w:rPr>
              <w:t>反垄断和反不正当竞争科</w:t>
            </w:r>
          </w:p>
        </w:tc>
        <w:tc>
          <w:tcPr>
            <w:tcW w:w="5101" w:type="dxa"/>
            <w:vAlign w:val="center"/>
          </w:tcPr>
          <w:p>
            <w:pPr>
              <w:spacing w:line="320" w:lineRule="exact"/>
              <w:rPr>
                <w:rFonts w:ascii="仿宋" w:hAnsi="仿宋" w:eastAsia="仿宋" w:cs="仿宋"/>
                <w:kern w:val="0"/>
                <w:sz w:val="24"/>
                <w:szCs w:val="24"/>
                <w:highlight w:val="none"/>
                <w:lang w:val="en-US" w:eastAsia="zh-CN" w:bidi="ar-SA"/>
              </w:rPr>
            </w:pPr>
            <w:r>
              <w:rPr>
                <w:rFonts w:hint="eastAsia" w:ascii="仿宋" w:hAnsi="仿宋" w:eastAsia="仿宋" w:cs="仿宋"/>
                <w:color w:val="000000"/>
                <w:sz w:val="24"/>
                <w:szCs w:val="24"/>
                <w:highlight w:val="none"/>
                <w:lang w:val="en-US" w:eastAsia="zh-CN"/>
              </w:rPr>
              <w:t>健全</w:t>
            </w:r>
            <w:r>
              <w:rPr>
                <w:rFonts w:hint="eastAsia" w:ascii="仿宋" w:hAnsi="仿宋" w:eastAsia="仿宋" w:cs="仿宋"/>
                <w:color w:val="000000"/>
                <w:sz w:val="24"/>
                <w:szCs w:val="24"/>
                <w:highlight w:val="none"/>
              </w:rPr>
              <w:t>公平竞争审查会审、抽查检查、投诉举报等制度。在</w:t>
            </w:r>
            <w:r>
              <w:rPr>
                <w:rFonts w:hint="eastAsia" w:ascii="仿宋" w:hAnsi="仿宋" w:eastAsia="仿宋" w:cs="仿宋"/>
                <w:color w:val="000000"/>
                <w:sz w:val="24"/>
                <w:szCs w:val="24"/>
                <w:highlight w:val="none"/>
                <w:lang w:val="en-US" w:eastAsia="zh-CN"/>
              </w:rPr>
              <w:t>市</w:t>
            </w:r>
            <w:r>
              <w:rPr>
                <w:rFonts w:hint="eastAsia" w:ascii="仿宋" w:hAnsi="仿宋" w:eastAsia="仿宋" w:cs="仿宋"/>
                <w:color w:val="000000"/>
                <w:sz w:val="24"/>
                <w:szCs w:val="24"/>
                <w:highlight w:val="none"/>
              </w:rPr>
              <w:t>局机关内部引入第三方评估，督促完成评估发现问题的整改。出台公平竞争审查第三方评估工作办法，支持政策制定机关在公平竞争审查工作中引入第三方评估，提高审查质量。聚焦医药、公用事业等民生领域，强化反垄断</w:t>
            </w:r>
            <w:r>
              <w:rPr>
                <w:rFonts w:hint="eastAsia" w:ascii="仿宋" w:hAnsi="仿宋" w:eastAsia="仿宋" w:cs="仿宋"/>
                <w:color w:val="000000"/>
                <w:sz w:val="24"/>
                <w:szCs w:val="24"/>
                <w:highlight w:val="none"/>
                <w:lang w:val="en-US" w:eastAsia="zh-CN"/>
              </w:rPr>
              <w:t>监管</w:t>
            </w:r>
            <w:r>
              <w:rPr>
                <w:rFonts w:hint="eastAsia" w:ascii="仿宋" w:hAnsi="仿宋" w:eastAsia="仿宋" w:cs="仿宋"/>
                <w:color w:val="000000"/>
                <w:sz w:val="24"/>
                <w:szCs w:val="24"/>
                <w:highlight w:val="none"/>
              </w:rPr>
              <w:t>。开展反不正当竞争专项执法行动，聚焦教育培训、社交电商等领域，严厉查处不正当竞争行为。</w:t>
            </w:r>
          </w:p>
        </w:tc>
        <w:tc>
          <w:tcPr>
            <w:tcW w:w="1265" w:type="dxa"/>
            <w:vAlign w:val="top"/>
          </w:tcPr>
          <w:p>
            <w:pPr>
              <w:spacing w:before="207" w:line="320" w:lineRule="exact"/>
              <w:jc w:val="center"/>
              <w:rPr>
                <w:rFonts w:ascii="仿宋" w:hAnsi="仿宋" w:eastAsia="仿宋" w:cs="仿宋"/>
                <w:sz w:val="24"/>
                <w:szCs w:val="24"/>
              </w:rPr>
            </w:pPr>
            <w:r>
              <w:rPr>
                <w:rFonts w:hint="eastAsia" w:ascii="仿宋" w:hAnsi="仿宋" w:eastAsia="仿宋" w:cs="仿宋"/>
                <w:color w:val="000000"/>
                <w:sz w:val="24"/>
                <w:szCs w:val="24"/>
                <w:highlight w:val="none"/>
                <w:lang w:val="en-US" w:eastAsia="zh-CN"/>
              </w:rPr>
              <w:t>健全</w:t>
            </w:r>
            <w:r>
              <w:rPr>
                <w:rFonts w:hint="eastAsia" w:ascii="仿宋" w:hAnsi="仿宋" w:eastAsia="仿宋" w:cs="仿宋"/>
                <w:color w:val="000000"/>
                <w:sz w:val="24"/>
                <w:szCs w:val="24"/>
                <w:highlight w:val="none"/>
              </w:rPr>
              <w:t>会审、抽查检查、第三方评估等制度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完成</w:t>
            </w:r>
            <w:r>
              <w:rPr>
                <w:rFonts w:hint="eastAsia" w:ascii="仿宋" w:hAnsi="仿宋" w:eastAsia="仿宋" w:cs="仿宋"/>
                <w:color w:val="000000"/>
                <w:sz w:val="24"/>
                <w:szCs w:val="24"/>
                <w:highlight w:val="none"/>
                <w:lang w:val="en-US" w:eastAsia="zh-CN"/>
              </w:rPr>
              <w:t>市</w:t>
            </w:r>
            <w:r>
              <w:rPr>
                <w:rFonts w:hint="eastAsia" w:ascii="仿宋" w:hAnsi="仿宋" w:eastAsia="仿宋" w:cs="仿宋"/>
                <w:color w:val="000000"/>
                <w:sz w:val="24"/>
                <w:szCs w:val="24"/>
                <w:highlight w:val="none"/>
              </w:rPr>
              <w:t>局内部第三方评估。</w:t>
            </w:r>
          </w:p>
        </w:tc>
        <w:tc>
          <w:tcPr>
            <w:tcW w:w="1313" w:type="dxa"/>
            <w:vAlign w:val="top"/>
          </w:tcPr>
          <w:p>
            <w:pPr>
              <w:spacing w:before="529"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持续推进</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实施第三</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方评估和</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竞争执法</w:t>
            </w:r>
          </w:p>
          <w:p>
            <w:pPr>
              <w:spacing w:line="320" w:lineRule="exact"/>
              <w:ind w:left="140" w:leftChars="0"/>
              <w:rPr>
                <w:rFonts w:ascii="仿宋" w:hAnsi="仿宋" w:eastAsia="仿宋" w:cs="仿宋"/>
                <w:sz w:val="24"/>
                <w:szCs w:val="24"/>
              </w:rPr>
            </w:pPr>
            <w:r>
              <w:rPr>
                <w:rFonts w:hint="eastAsia" w:ascii="仿宋" w:hAnsi="仿宋" w:eastAsia="仿宋" w:cs="仿宋"/>
                <w:color w:val="000000"/>
                <w:sz w:val="24"/>
                <w:szCs w:val="24"/>
                <w:highlight w:val="none"/>
              </w:rPr>
              <w:t>力度。</w:t>
            </w:r>
          </w:p>
        </w:tc>
        <w:tc>
          <w:tcPr>
            <w:tcW w:w="1303" w:type="dxa"/>
            <w:vAlign w:val="top"/>
          </w:tcPr>
          <w:p>
            <w:pPr>
              <w:spacing w:before="516"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持续推进</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实施第三</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方评估和</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竞争执法</w:t>
            </w:r>
          </w:p>
          <w:p>
            <w:pPr>
              <w:spacing w:line="320" w:lineRule="exact"/>
              <w:ind w:left="140" w:leftChars="0"/>
              <w:rPr>
                <w:rFonts w:ascii="仿宋" w:hAnsi="仿宋" w:eastAsia="仿宋" w:cs="仿宋"/>
                <w:sz w:val="24"/>
                <w:szCs w:val="24"/>
              </w:rPr>
            </w:pPr>
            <w:r>
              <w:rPr>
                <w:rFonts w:hint="eastAsia" w:ascii="仿宋" w:hAnsi="仿宋" w:eastAsia="仿宋" w:cs="仿宋"/>
                <w:color w:val="000000"/>
                <w:sz w:val="24"/>
                <w:szCs w:val="24"/>
                <w:highlight w:val="none"/>
              </w:rPr>
              <w:t>力度。</w:t>
            </w:r>
          </w:p>
        </w:tc>
        <w:tc>
          <w:tcPr>
            <w:tcW w:w="1578" w:type="dxa"/>
            <w:vAlign w:val="top"/>
          </w:tcPr>
          <w:p>
            <w:pPr>
              <w:spacing w:before="328"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完善</w:t>
            </w:r>
            <w:r>
              <w:rPr>
                <w:rFonts w:hint="eastAsia" w:ascii="仿宋" w:hAnsi="仿宋" w:eastAsia="仿宋" w:cs="仿宋"/>
                <w:color w:val="000000"/>
                <w:sz w:val="24"/>
                <w:szCs w:val="24"/>
                <w:highlight w:val="none"/>
              </w:rPr>
              <w:t>公平竞</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争审查会</w:t>
            </w:r>
          </w:p>
          <w:p>
            <w:pPr>
              <w:spacing w:line="32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审、抽查、</w:t>
            </w:r>
          </w:p>
          <w:p>
            <w:pPr>
              <w:spacing w:line="30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第三方评</w:t>
            </w:r>
          </w:p>
          <w:p>
            <w:pPr>
              <w:spacing w:line="30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估、投诉举</w:t>
            </w:r>
          </w:p>
          <w:p>
            <w:pPr>
              <w:spacing w:line="320" w:lineRule="exact"/>
              <w:jc w:val="center"/>
              <w:rPr>
                <w:rFonts w:ascii="仿宋" w:hAnsi="仿宋" w:eastAsia="仿宋" w:cs="仿宋"/>
                <w:sz w:val="24"/>
                <w:szCs w:val="24"/>
              </w:rPr>
            </w:pPr>
            <w:r>
              <w:rPr>
                <w:rFonts w:hint="eastAsia" w:ascii="仿宋" w:hAnsi="仿宋" w:eastAsia="仿宋" w:cs="仿宋"/>
                <w:color w:val="000000"/>
                <w:sz w:val="24"/>
                <w:szCs w:val="24"/>
                <w:highlight w:val="none"/>
              </w:rPr>
              <w:t>报等制度。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ascii="仿宋" w:hAnsi="仿宋" w:eastAsia="仿宋" w:cs="仿宋"/>
                <w:color w:val="auto"/>
                <w:sz w:val="24"/>
                <w:szCs w:val="24"/>
              </w:rPr>
              <w:t>*</w:t>
            </w:r>
            <w:r>
              <w:rPr>
                <w:rFonts w:hint="eastAsia" w:ascii="仿宋" w:hAnsi="仿宋" w:eastAsia="仿宋" w:cs="仿宋"/>
                <w:color w:val="auto"/>
                <w:sz w:val="24"/>
                <w:szCs w:val="24"/>
                <w:lang w:val="en-US" w:eastAsia="zh-CN"/>
              </w:rPr>
              <w:t>2</w:t>
            </w:r>
          </w:p>
        </w:tc>
        <w:tc>
          <w:tcPr>
            <w:tcW w:w="1742" w:type="dxa"/>
          </w:tcPr>
          <w:p>
            <w:pPr>
              <w:spacing w:before="633" w:line="320" w:lineRule="exact"/>
              <w:jc w:val="center"/>
              <w:rPr>
                <w:rFonts w:ascii="仿宋" w:hAnsi="仿宋" w:eastAsia="仿宋" w:cs="仿宋"/>
                <w:sz w:val="24"/>
                <w:szCs w:val="24"/>
              </w:rPr>
            </w:pPr>
            <w:r>
              <w:rPr>
                <w:rFonts w:hint="eastAsia" w:ascii="仿宋" w:hAnsi="仿宋" w:eastAsia="仿宋" w:cs="仿宋"/>
                <w:color w:val="000000"/>
                <w:sz w:val="24"/>
                <w:szCs w:val="24"/>
              </w:rPr>
              <w:t>清理设置非必要</w:t>
            </w:r>
          </w:p>
          <w:p>
            <w:pPr>
              <w:spacing w:line="300" w:lineRule="exact"/>
              <w:jc w:val="center"/>
              <w:rPr>
                <w:rFonts w:ascii="仿宋" w:hAnsi="仿宋" w:eastAsia="仿宋" w:cs="仿宋"/>
                <w:sz w:val="24"/>
                <w:szCs w:val="24"/>
              </w:rPr>
            </w:pPr>
            <w:r>
              <w:rPr>
                <w:rFonts w:hint="eastAsia" w:ascii="仿宋" w:hAnsi="仿宋" w:eastAsia="仿宋" w:cs="仿宋"/>
                <w:color w:val="000000"/>
                <w:sz w:val="24"/>
                <w:szCs w:val="24"/>
              </w:rPr>
              <w:t>条件排斥潜在竞</w:t>
            </w:r>
          </w:p>
          <w:p>
            <w:pPr>
              <w:spacing w:line="320" w:lineRule="exact"/>
              <w:ind w:left="140"/>
              <w:rPr>
                <w:rFonts w:ascii="仿宋" w:hAnsi="仿宋" w:eastAsia="仿宋" w:cs="仿宋"/>
                <w:sz w:val="24"/>
                <w:szCs w:val="24"/>
              </w:rPr>
            </w:pPr>
            <w:r>
              <w:rPr>
                <w:rFonts w:hint="eastAsia" w:ascii="仿宋" w:hAnsi="仿宋" w:eastAsia="仿宋" w:cs="仿宋"/>
                <w:color w:val="000000"/>
                <w:sz w:val="24"/>
                <w:szCs w:val="24"/>
              </w:rPr>
              <w:t>争者行为</w:t>
            </w:r>
          </w:p>
        </w:tc>
        <w:tc>
          <w:tcPr>
            <w:tcW w:w="1425" w:type="dxa"/>
            <w:vAlign w:val="center"/>
          </w:tcPr>
          <w:p>
            <w:pPr>
              <w:spacing w:line="450" w:lineRule="exact"/>
              <w:jc w:val="center"/>
              <w:rPr>
                <w:rFonts w:ascii="仿宋" w:hAnsi="仿宋" w:eastAsia="仿宋" w:cs="仿宋"/>
                <w:sz w:val="24"/>
                <w:szCs w:val="24"/>
              </w:rPr>
            </w:pPr>
            <w:r>
              <w:rPr>
                <w:rFonts w:hint="eastAsia" w:ascii="仿宋" w:hAnsi="仿宋" w:eastAsia="仿宋" w:cs="仿宋"/>
                <w:color w:val="000000"/>
                <w:sz w:val="24"/>
                <w:szCs w:val="24"/>
              </w:rPr>
              <w:t>反垄断和反不正当竞争科</w:t>
            </w:r>
          </w:p>
        </w:tc>
        <w:tc>
          <w:tcPr>
            <w:tcW w:w="5101" w:type="dxa"/>
          </w:tcPr>
          <w:p>
            <w:pPr>
              <w:spacing w:before="264" w:line="340" w:lineRule="exact"/>
              <w:jc w:val="center"/>
              <w:rPr>
                <w:rFonts w:ascii="仿宋" w:hAnsi="仿宋" w:eastAsia="仿宋" w:cs="仿宋"/>
                <w:sz w:val="24"/>
                <w:szCs w:val="24"/>
              </w:rPr>
            </w:pPr>
            <w:r>
              <w:rPr>
                <w:rFonts w:hint="eastAsia" w:ascii="仿宋" w:hAnsi="仿宋" w:eastAsia="仿宋" w:cs="仿宋"/>
                <w:color w:val="000000"/>
                <w:sz w:val="24"/>
                <w:szCs w:val="24"/>
                <w:highlight w:val="none"/>
              </w:rPr>
              <w:t>督促各县区各部门做好存量清理工作，清理和废除妨碍全国统一市场和公平竞争的各种规定和做法，清理设置非必要条件排斥潜在竞争者行为。在市局机关内部引入第三方评估，引导相关</w:t>
            </w:r>
            <w:r>
              <w:rPr>
                <w:rFonts w:hint="eastAsia" w:ascii="仿宋" w:hAnsi="仿宋" w:eastAsia="仿宋" w:cs="仿宋"/>
                <w:color w:val="000000"/>
                <w:sz w:val="24"/>
                <w:szCs w:val="24"/>
                <w:highlight w:val="none"/>
                <w:lang w:val="en-US" w:eastAsia="zh-CN"/>
              </w:rPr>
              <w:t>市</w:t>
            </w:r>
            <w:r>
              <w:rPr>
                <w:rFonts w:hint="eastAsia" w:ascii="仿宋" w:hAnsi="仿宋" w:eastAsia="仿宋" w:cs="仿宋"/>
                <w:color w:val="000000"/>
                <w:sz w:val="24"/>
                <w:szCs w:val="24"/>
                <w:highlight w:val="none"/>
              </w:rPr>
              <w:t>直机关对政策措施进行第三方评估。</w:t>
            </w:r>
          </w:p>
        </w:tc>
        <w:tc>
          <w:tcPr>
            <w:tcW w:w="1265" w:type="dxa"/>
          </w:tcPr>
          <w:p>
            <w:pPr>
              <w:spacing w:before="610" w:line="300" w:lineRule="exact"/>
              <w:jc w:val="center"/>
              <w:rPr>
                <w:rFonts w:ascii="仿宋" w:hAnsi="仿宋" w:eastAsia="仿宋" w:cs="仿宋"/>
                <w:sz w:val="24"/>
                <w:szCs w:val="24"/>
                <w:highlight w:val="none"/>
              </w:rPr>
            </w:pPr>
            <w:r>
              <w:rPr>
                <w:rFonts w:hint="eastAsia" w:ascii="仿宋" w:hAnsi="仿宋" w:eastAsia="仿宋" w:cs="仿宋"/>
                <w:color w:val="000000"/>
                <w:sz w:val="24"/>
                <w:szCs w:val="24"/>
                <w:highlight w:val="none"/>
              </w:rPr>
              <w:t>完成市局</w:t>
            </w:r>
          </w:p>
          <w:p>
            <w:pPr>
              <w:spacing w:line="320" w:lineRule="exact"/>
              <w:ind w:left="100"/>
              <w:rPr>
                <w:rFonts w:ascii="仿宋" w:hAnsi="仿宋" w:eastAsia="仿宋" w:cs="仿宋"/>
                <w:sz w:val="24"/>
                <w:szCs w:val="24"/>
              </w:rPr>
            </w:pPr>
            <w:r>
              <w:rPr>
                <w:rFonts w:hint="eastAsia" w:ascii="仿宋" w:hAnsi="仿宋" w:eastAsia="仿宋" w:cs="仿宋"/>
                <w:color w:val="000000"/>
                <w:sz w:val="24"/>
                <w:szCs w:val="24"/>
                <w:highlight w:val="none"/>
              </w:rPr>
              <w:t>机关第三</w:t>
            </w:r>
            <w:r>
              <w:rPr>
                <w:rFonts w:hint="eastAsia" w:ascii="仿宋" w:hAnsi="仿宋" w:eastAsia="仿宋" w:cs="仿宋"/>
                <w:color w:val="000000"/>
                <w:sz w:val="24"/>
                <w:szCs w:val="24"/>
                <w:highlight w:val="none"/>
                <w:lang w:val="en-US" w:eastAsia="zh-CN"/>
              </w:rPr>
              <w:t>方</w:t>
            </w:r>
            <w:r>
              <w:rPr>
                <w:rFonts w:hint="eastAsia" w:ascii="仿宋" w:hAnsi="仿宋" w:eastAsia="仿宋" w:cs="仿宋"/>
                <w:color w:val="000000"/>
                <w:sz w:val="24"/>
                <w:szCs w:val="24"/>
                <w:highlight w:val="none"/>
              </w:rPr>
              <w:t>评估。</w:t>
            </w:r>
          </w:p>
        </w:tc>
        <w:tc>
          <w:tcPr>
            <w:tcW w:w="1313" w:type="dxa"/>
            <w:vAlign w:val="center"/>
          </w:tcPr>
          <w:p>
            <w:pPr>
              <w:spacing w:line="423" w:lineRule="exact"/>
              <w:jc w:val="center"/>
              <w:rPr>
                <w:rFonts w:ascii="仿宋" w:hAnsi="仿宋" w:eastAsia="仿宋" w:cs="仿宋"/>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sz w:val="24"/>
                <w:szCs w:val="24"/>
              </w:rPr>
            </w:pPr>
            <w:r>
              <w:rPr>
                <w:rFonts w:hint="eastAsia" w:ascii="仿宋" w:hAnsi="仿宋" w:eastAsia="仿宋" w:cs="仿宋"/>
                <w:color w:val="000000"/>
                <w:sz w:val="24"/>
                <w:szCs w:val="24"/>
              </w:rPr>
              <w:t>持续推进</w:t>
            </w:r>
          </w:p>
        </w:tc>
        <w:tc>
          <w:tcPr>
            <w:tcW w:w="1578" w:type="dxa"/>
          </w:tcPr>
          <w:p>
            <w:pPr>
              <w:spacing w:before="299" w:line="320" w:lineRule="exact"/>
              <w:jc w:val="center"/>
              <w:rPr>
                <w:rFonts w:ascii="仿宋" w:hAnsi="仿宋" w:eastAsia="仿宋" w:cs="仿宋"/>
                <w:sz w:val="24"/>
                <w:szCs w:val="24"/>
              </w:rPr>
            </w:pPr>
            <w:r>
              <w:rPr>
                <w:rFonts w:hint="eastAsia" w:ascii="仿宋" w:hAnsi="仿宋" w:eastAsia="仿宋" w:cs="仿宋"/>
                <w:color w:val="000000"/>
                <w:sz w:val="24"/>
                <w:szCs w:val="24"/>
              </w:rPr>
              <w:t>规范政府行为，防止出台排除、限制竞争的政</w:t>
            </w:r>
          </w:p>
          <w:p>
            <w:pPr>
              <w:spacing w:line="340" w:lineRule="exact"/>
              <w:jc w:val="center"/>
              <w:rPr>
                <w:rFonts w:ascii="仿宋" w:hAnsi="仿宋" w:eastAsia="仿宋" w:cs="仿宋"/>
                <w:sz w:val="24"/>
                <w:szCs w:val="24"/>
              </w:rPr>
            </w:pPr>
            <w:r>
              <w:rPr>
                <w:rFonts w:hint="eastAsia" w:ascii="仿宋" w:hAnsi="仿宋" w:eastAsia="仿宋" w:cs="仿宋"/>
                <w:color w:val="000000"/>
                <w:sz w:val="24"/>
                <w:szCs w:val="24"/>
              </w:rPr>
              <w:t>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5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42" w:type="dxa"/>
          </w:tcPr>
          <w:p>
            <w:pPr>
              <w:spacing w:line="320" w:lineRule="exact"/>
              <w:ind w:left="140"/>
              <w:rPr>
                <w:rFonts w:ascii="仿宋" w:hAnsi="仿宋" w:eastAsia="仿宋" w:cs="仿宋"/>
                <w:color w:val="000000"/>
                <w:sz w:val="24"/>
                <w:szCs w:val="24"/>
              </w:rPr>
            </w:pPr>
          </w:p>
          <w:p>
            <w:pPr>
              <w:spacing w:line="320" w:lineRule="exact"/>
              <w:ind w:left="140"/>
              <w:rPr>
                <w:rFonts w:ascii="仿宋" w:hAnsi="仿宋" w:eastAsia="仿宋" w:cs="仿宋"/>
                <w:color w:val="000000"/>
                <w:sz w:val="24"/>
                <w:szCs w:val="24"/>
              </w:rPr>
            </w:pPr>
            <w:r>
              <w:rPr>
                <w:rFonts w:hint="eastAsia" w:ascii="仿宋" w:hAnsi="仿宋" w:eastAsia="仿宋" w:cs="仿宋"/>
                <w:color w:val="000000"/>
                <w:sz w:val="24"/>
                <w:szCs w:val="24"/>
              </w:rPr>
              <w:t>清理规范涉企收费、着力纠正各类中介多断经营、强制服务行为</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sz w:val="24"/>
                <w:szCs w:val="24"/>
              </w:rPr>
              <w:t>价格监管科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themeColor="text1"/>
                <w:sz w:val="24"/>
                <w:szCs w:val="24"/>
              </w:rPr>
              <w:t>按照省价监局和市局党组关于涉企违规收费专项整治行动工作要求和安排部署做好方案印发、工作推进、督导检查等工作。通过业务培训、实地指导等手段，开展指导帮扶工作，增强执法人员能力素质和业务水平，强化执法办案。</w:t>
            </w:r>
          </w:p>
        </w:tc>
        <w:tc>
          <w:tcPr>
            <w:tcW w:w="1265" w:type="dxa"/>
            <w:vAlign w:val="center"/>
          </w:tcPr>
          <w:p>
            <w:pPr>
              <w:spacing w:line="320" w:lineRule="exact"/>
              <w:ind w:left="100"/>
              <w:jc w:val="center"/>
              <w:rPr>
                <w:rFonts w:ascii="仿宋" w:hAnsi="仿宋" w:eastAsia="仿宋" w:cs="仿宋"/>
                <w:color w:val="000000"/>
                <w:sz w:val="24"/>
                <w:szCs w:val="24"/>
              </w:rPr>
            </w:pPr>
          </w:p>
          <w:p>
            <w:pPr>
              <w:spacing w:line="320" w:lineRule="exact"/>
              <w:ind w:left="10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tcPr>
          <w:p>
            <w:pPr>
              <w:spacing w:line="340" w:lineRule="exact"/>
              <w:ind w:left="140"/>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rPr>
              <w:t>通过清理规范，使涉企违规收费行为得到有效</w:t>
            </w:r>
            <w:r>
              <w:rPr>
                <w:rFonts w:hint="eastAsia" w:ascii="仿宋" w:hAnsi="仿宋" w:eastAsia="仿宋" w:cs="仿宋"/>
                <w:color w:val="000000" w:themeColor="text1"/>
                <w:sz w:val="24"/>
                <w:szCs w:val="24"/>
                <w:lang w:val="en-US" w:eastAsia="zh-CN"/>
              </w:rPr>
              <w:t>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42" w:type="dxa"/>
          </w:tcPr>
          <w:p>
            <w:pPr>
              <w:spacing w:line="320" w:lineRule="exact"/>
              <w:rPr>
                <w:rFonts w:ascii="仿宋" w:hAnsi="仿宋" w:eastAsia="仿宋" w:cs="仿宋"/>
                <w:color w:val="000000"/>
                <w:sz w:val="24"/>
                <w:szCs w:val="24"/>
              </w:rPr>
            </w:pPr>
          </w:p>
          <w:p>
            <w:pPr>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加强市场主体合法权益保护</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执法监督科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围绕重点领域，深入开展“铁拳”专项行动，严厉打击违法违规行为，维护市场秩序，保护市场主体合法权益。落实包容审慎监管执法理念，对符合包容免罚清单要求，违法违规情节轻微，社会危害性较小的轻微违法行为从轻或免于处罚。</w:t>
            </w:r>
          </w:p>
        </w:tc>
        <w:tc>
          <w:tcPr>
            <w:tcW w:w="1265" w:type="dxa"/>
            <w:vAlign w:val="top"/>
          </w:tcPr>
          <w:p>
            <w:pPr>
              <w:spacing w:line="320" w:lineRule="exact"/>
              <w:ind w:left="100"/>
              <w:jc w:val="both"/>
              <w:rPr>
                <w:rFonts w:ascii="仿宋" w:hAnsi="仿宋" w:eastAsia="仿宋" w:cs="仿宋"/>
                <w:color w:val="000000"/>
                <w:sz w:val="24"/>
                <w:szCs w:val="24"/>
              </w:rPr>
            </w:pPr>
            <w:r>
              <w:rPr>
                <w:rFonts w:hint="eastAsia" w:ascii="仿宋" w:hAnsi="仿宋" w:eastAsia="仿宋" w:cs="仿宋"/>
                <w:color w:val="000000"/>
                <w:sz w:val="24"/>
                <w:szCs w:val="24"/>
              </w:rPr>
              <w:t>继续开展“铁拳”专项行动，持续推进包容审慎执法理念落实到位。</w:t>
            </w:r>
          </w:p>
        </w:tc>
        <w:tc>
          <w:tcPr>
            <w:tcW w:w="1313" w:type="dxa"/>
            <w:vAlign w:val="top"/>
          </w:tcPr>
          <w:p>
            <w:pPr>
              <w:spacing w:line="423" w:lineRule="exact"/>
              <w:jc w:val="both"/>
              <w:rPr>
                <w:rFonts w:ascii="仿宋" w:hAnsi="仿宋" w:eastAsia="仿宋" w:cs="仿宋"/>
                <w:color w:val="000000"/>
                <w:sz w:val="24"/>
                <w:szCs w:val="24"/>
              </w:rPr>
            </w:pPr>
            <w:r>
              <w:rPr>
                <w:rFonts w:hint="eastAsia" w:ascii="仿宋" w:hAnsi="仿宋" w:eastAsia="仿宋" w:cs="仿宋"/>
                <w:color w:val="000000"/>
                <w:sz w:val="24"/>
                <w:szCs w:val="24"/>
              </w:rPr>
              <w:t>继续开展“铁拳”专项行动，持续推进包容审慎执法理念落实到位。</w:t>
            </w:r>
          </w:p>
        </w:tc>
        <w:tc>
          <w:tcPr>
            <w:tcW w:w="1303" w:type="dxa"/>
            <w:vAlign w:val="top"/>
          </w:tcPr>
          <w:p>
            <w:pPr>
              <w:spacing w:line="405" w:lineRule="exact"/>
              <w:jc w:val="both"/>
              <w:rPr>
                <w:rFonts w:ascii="仿宋" w:hAnsi="仿宋" w:eastAsia="仿宋" w:cs="仿宋"/>
                <w:color w:val="000000"/>
                <w:sz w:val="24"/>
                <w:szCs w:val="24"/>
              </w:rPr>
            </w:pPr>
            <w:r>
              <w:rPr>
                <w:rFonts w:hint="eastAsia" w:ascii="仿宋" w:hAnsi="仿宋" w:eastAsia="仿宋" w:cs="仿宋"/>
                <w:color w:val="000000"/>
                <w:sz w:val="24"/>
                <w:szCs w:val="24"/>
              </w:rPr>
              <w:t>继续开展“铁拳”专项行动，持续推进包容审慎执法理念落实到位。</w:t>
            </w:r>
          </w:p>
        </w:tc>
        <w:tc>
          <w:tcPr>
            <w:tcW w:w="1578" w:type="dxa"/>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相关重点领域市场秩序进一步规范，市场主体合法权益得到有效保护，我市营商环境得到进一步优</w:t>
            </w:r>
            <w:r>
              <w:rPr>
                <w:rFonts w:hint="eastAsia" w:ascii="仿宋" w:hAnsi="仿宋" w:eastAsia="仿宋" w:cs="仿宋"/>
                <w:color w:val="000000"/>
                <w:sz w:val="24"/>
                <w:szCs w:val="24"/>
                <w:lang w:eastAsia="zh-CN"/>
              </w:rPr>
              <w:t>化</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42" w:type="dxa"/>
            <w:vAlign w:val="center"/>
          </w:tcPr>
          <w:p>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开展极简审批行动</w:t>
            </w:r>
          </w:p>
        </w:tc>
        <w:tc>
          <w:tcPr>
            <w:tcW w:w="1425" w:type="dxa"/>
            <w:vAlign w:val="center"/>
          </w:tcPr>
          <w:p>
            <w:pPr>
              <w:spacing w:line="450" w:lineRule="exact"/>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外资企业登记注册科</w:t>
            </w:r>
          </w:p>
        </w:tc>
        <w:tc>
          <w:tcPr>
            <w:tcW w:w="5101" w:type="dxa"/>
            <w:vAlign w:val="top"/>
          </w:tcPr>
          <w:p>
            <w:pPr>
              <w:spacing w:before="264" w:line="340" w:lineRule="exact"/>
              <w:jc w:val="both"/>
              <w:rPr>
                <w:rFonts w:hint="eastAsia" w:ascii="仿宋" w:hAnsi="仿宋" w:eastAsia="仿宋" w:cs="仿宋"/>
                <w:color w:val="auto"/>
                <w:sz w:val="24"/>
                <w:szCs w:val="24"/>
              </w:rPr>
            </w:pPr>
            <w:r>
              <w:rPr>
                <w:rFonts w:hint="eastAsia" w:ascii="仿宋_GB2312" w:hAnsi="仿宋_GB2312" w:eastAsia="仿宋_GB2312" w:cs="仿宋_GB2312"/>
                <w:i w:val="0"/>
                <w:iCs w:val="0"/>
                <w:color w:val="auto"/>
                <w:kern w:val="0"/>
                <w:sz w:val="22"/>
                <w:szCs w:val="22"/>
                <w:u w:val="none"/>
                <w:lang w:val="en-US" w:eastAsia="zh-CN" w:bidi="ar"/>
              </w:rPr>
              <w:t>外资企业登记注册所有业务均利用“山西省政务服务平台”网上提交办理，线下审核窗台严格落实“一次性告知”、“当场办理”等有效举措，申请材料落实“承诺制”，充分尊重企业的信誉和主动权，全力保障企业一次性简便快速办理相关业务。</w:t>
            </w:r>
          </w:p>
        </w:tc>
        <w:tc>
          <w:tcPr>
            <w:tcW w:w="1265" w:type="dxa"/>
            <w:vAlign w:val="center"/>
          </w:tcPr>
          <w:p>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持续推进</w:t>
            </w:r>
          </w:p>
        </w:tc>
        <w:tc>
          <w:tcPr>
            <w:tcW w:w="1313" w:type="dxa"/>
            <w:vAlign w:val="center"/>
          </w:tcPr>
          <w:p>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03" w:type="dxa"/>
            <w:vAlign w:val="center"/>
          </w:tcPr>
          <w:p>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w:t>
            </w:r>
            <w:r>
              <w:rPr>
                <w:rFonts w:hint="eastAsia" w:ascii="仿宋" w:hAnsi="仿宋" w:eastAsia="仿宋" w:cs="仿宋"/>
                <w:color w:val="auto"/>
                <w:kern w:val="0"/>
                <w:sz w:val="24"/>
                <w:szCs w:val="24"/>
                <w:lang w:val="en-US" w:eastAsia="zh-CN" w:bidi="ar-SA"/>
              </w:rPr>
              <w:t>推进</w:t>
            </w:r>
          </w:p>
        </w:tc>
        <w:tc>
          <w:tcPr>
            <w:tcW w:w="1578" w:type="dxa"/>
            <w:vAlign w:val="center"/>
          </w:tcPr>
          <w:p>
            <w:pPr>
              <w:spacing w:line="340" w:lineRule="exact"/>
              <w:ind w:left="140" w:leftChars="0"/>
              <w:jc w:val="left"/>
              <w:rPr>
                <w:rFonts w:hint="eastAsia" w:ascii="仿宋" w:hAnsi="仿宋" w:eastAsia="仿宋" w:cs="仿宋"/>
                <w:color w:val="auto"/>
                <w:kern w:val="0"/>
                <w:sz w:val="24"/>
                <w:szCs w:val="24"/>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进一步简化审批流程，企业办理登记注册审批业务方便快捷，实现“零门槛”目标。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42" w:type="dxa"/>
            <w:vAlign w:val="center"/>
          </w:tcPr>
          <w:p>
            <w:pPr>
              <w:spacing w:line="32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优化市场主体准入和退出服务</w:t>
            </w:r>
          </w:p>
        </w:tc>
        <w:tc>
          <w:tcPr>
            <w:tcW w:w="1425" w:type="dxa"/>
            <w:vAlign w:val="center"/>
          </w:tcPr>
          <w:p>
            <w:pPr>
              <w:spacing w:line="45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外资企业登记注册科</w:t>
            </w:r>
          </w:p>
        </w:tc>
        <w:tc>
          <w:tcPr>
            <w:tcW w:w="5101"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2"/>
                <w:szCs w:val="22"/>
                <w:lang w:val="en-US" w:eastAsia="zh-CN"/>
              </w:rPr>
              <w:t>严格按照《中华人民共和国市场主体登记管理条例》和《市场主体登记提交材料规范》等法规办理外资企业登记注册业务，杜绝随意提高要求，践行微笑服务</w:t>
            </w:r>
            <w:r>
              <w:rPr>
                <w:rFonts w:hint="eastAsia" w:ascii="仿宋_GB2312" w:hAnsi="仿宋_GB2312" w:eastAsia="仿宋_GB2312" w:cs="仿宋_GB2312"/>
                <w:i w:val="0"/>
                <w:iCs w:val="0"/>
                <w:color w:val="auto"/>
                <w:kern w:val="0"/>
                <w:sz w:val="22"/>
                <w:szCs w:val="22"/>
                <w:u w:val="none"/>
                <w:lang w:val="en-US" w:eastAsia="zh-CN" w:bidi="ar"/>
              </w:rPr>
              <w:t>，靠前为企业解决实际问题，同时积极推行登记注册“一网通、一窗办、半日结、零成本”，将登记注册、公章刻制、发票申领及银行、社保、医保、公积金开户纳入全程服务咨询范围。</w:t>
            </w:r>
          </w:p>
        </w:tc>
        <w:tc>
          <w:tcPr>
            <w:tcW w:w="1265" w:type="dxa"/>
            <w:vAlign w:val="center"/>
          </w:tcPr>
          <w:p>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持续推进</w:t>
            </w:r>
          </w:p>
        </w:tc>
        <w:tc>
          <w:tcPr>
            <w:tcW w:w="1313" w:type="dxa"/>
            <w:vAlign w:val="center"/>
          </w:tcPr>
          <w:p>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03" w:type="dxa"/>
            <w:vAlign w:val="center"/>
          </w:tcPr>
          <w:p>
            <w:pPr>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w:t>
            </w:r>
            <w:r>
              <w:rPr>
                <w:rFonts w:hint="eastAsia" w:ascii="仿宋" w:hAnsi="仿宋" w:eastAsia="仿宋" w:cs="仿宋"/>
                <w:color w:val="auto"/>
                <w:kern w:val="0"/>
                <w:sz w:val="24"/>
                <w:szCs w:val="24"/>
                <w:lang w:val="en-US" w:eastAsia="zh-CN" w:bidi="ar-SA"/>
              </w:rPr>
              <w:t>推进</w:t>
            </w:r>
          </w:p>
        </w:tc>
        <w:tc>
          <w:tcPr>
            <w:tcW w:w="1578" w:type="dxa"/>
            <w:vAlign w:val="center"/>
          </w:tcPr>
          <w:p>
            <w:pPr>
              <w:spacing w:line="340" w:lineRule="exact"/>
              <w:ind w:left="140" w:left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市场主体</w:t>
            </w:r>
            <w:r>
              <w:rPr>
                <w:rFonts w:hint="eastAsia" w:ascii="仿宋" w:hAnsi="仿宋" w:eastAsia="仿宋" w:cs="仿宋"/>
                <w:color w:val="auto"/>
                <w:sz w:val="24"/>
                <w:szCs w:val="24"/>
                <w:lang w:val="en-US" w:eastAsia="zh-CN"/>
              </w:rPr>
              <w:t>办理各类</w:t>
            </w:r>
            <w:r>
              <w:rPr>
                <w:rFonts w:hint="eastAsia" w:ascii="仿宋" w:hAnsi="仿宋" w:eastAsia="仿宋" w:cs="仿宋"/>
                <w:color w:val="auto"/>
                <w:sz w:val="24"/>
                <w:szCs w:val="24"/>
                <w:lang w:eastAsia="zh-CN"/>
              </w:rPr>
              <w:t>准入和退出</w:t>
            </w:r>
            <w:r>
              <w:rPr>
                <w:rFonts w:hint="eastAsia" w:ascii="仿宋" w:hAnsi="仿宋" w:eastAsia="仿宋" w:cs="仿宋"/>
                <w:color w:val="auto"/>
                <w:sz w:val="24"/>
                <w:szCs w:val="24"/>
                <w:lang w:val="en-US" w:eastAsia="zh-CN"/>
              </w:rPr>
              <w:t>业务更加方便</w:t>
            </w:r>
            <w:r>
              <w:rPr>
                <w:rFonts w:hint="eastAsia" w:ascii="仿宋_GB2312" w:hAnsi="仿宋_GB2312" w:eastAsia="仿宋_GB2312" w:cs="仿宋_GB2312"/>
                <w:i w:val="0"/>
                <w:iCs w:val="0"/>
                <w:color w:val="auto"/>
                <w:kern w:val="0"/>
                <w:sz w:val="22"/>
                <w:szCs w:val="22"/>
                <w:u w:val="none"/>
                <w:lang w:val="en-US" w:eastAsia="zh-CN" w:bidi="ar"/>
              </w:rPr>
              <w:t>，市场主体与行政部门工作融合性更加增强。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推行企业年度报告“多报合一”改革</w:t>
            </w:r>
          </w:p>
        </w:tc>
        <w:tc>
          <w:tcPr>
            <w:tcW w:w="1425" w:type="dxa"/>
            <w:vAlign w:val="center"/>
          </w:tcPr>
          <w:p>
            <w:pPr>
              <w:spacing w:line="240" w:lineRule="auto"/>
              <w:jc w:val="left"/>
              <w:rPr>
                <w:rFonts w:ascii="仿宋" w:hAnsi="仿宋" w:eastAsia="仿宋" w:cs="仿宋"/>
                <w:color w:val="000000"/>
                <w:sz w:val="24"/>
                <w:szCs w:val="24"/>
              </w:rPr>
            </w:pPr>
            <w:r>
              <w:rPr>
                <w:rFonts w:hint="eastAsia" w:ascii="仿宋" w:hAnsi="仿宋" w:eastAsia="仿宋" w:cs="仿宋"/>
                <w:color w:val="auto"/>
                <w:sz w:val="21"/>
                <w:szCs w:val="21"/>
              </w:rPr>
              <w:t>信用监管科</w:t>
            </w:r>
            <w:r>
              <w:rPr>
                <w:rFonts w:hint="eastAsia" w:ascii="仿宋" w:hAnsi="仿宋" w:eastAsia="仿宋" w:cs="仿宋"/>
                <w:color w:val="auto"/>
                <w:sz w:val="21"/>
                <w:szCs w:val="21"/>
                <w:lang w:eastAsia="zh-CN"/>
              </w:rPr>
              <w:t>牵头，各县（区）市场监督管理局、开发区分局配合。</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auto"/>
                <w:sz w:val="24"/>
                <w:szCs w:val="24"/>
              </w:rPr>
              <w:t>根据国家市场监管总局</w:t>
            </w:r>
            <w:r>
              <w:rPr>
                <w:rFonts w:hint="eastAsia" w:ascii="仿宋" w:hAnsi="仿宋" w:eastAsia="仿宋" w:cs="仿宋"/>
                <w:color w:val="auto"/>
                <w:sz w:val="24"/>
                <w:szCs w:val="24"/>
                <w:lang w:eastAsia="zh-CN"/>
              </w:rPr>
              <w:t>和山西省市场监管局</w:t>
            </w:r>
            <w:r>
              <w:rPr>
                <w:rFonts w:hint="eastAsia" w:ascii="仿宋" w:hAnsi="仿宋" w:eastAsia="仿宋" w:cs="仿宋"/>
                <w:color w:val="auto"/>
                <w:sz w:val="24"/>
                <w:szCs w:val="24"/>
              </w:rPr>
              <w:t>的安排，继续推进与人力资源社会保障、商务、海关、统计、外汇等部门相关事项合并年报。</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便利企业办事，优化企业年度报告“多报合一”事项。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42" w:type="dxa"/>
            <w:vAlign w:val="center"/>
          </w:tcPr>
          <w:p>
            <w:pPr>
              <w:spacing w:line="32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进一步扩大电子证照、电子签章应用范围</w:t>
            </w:r>
          </w:p>
        </w:tc>
        <w:tc>
          <w:tcPr>
            <w:tcW w:w="1425" w:type="dxa"/>
            <w:vAlign w:val="center"/>
          </w:tcPr>
          <w:p>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外资登记注册科</w:t>
            </w:r>
          </w:p>
        </w:tc>
        <w:tc>
          <w:tcPr>
            <w:tcW w:w="5101"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全局开展监督检查、行政许可、行政审批、案件审查、</w:t>
            </w:r>
            <w:r>
              <w:rPr>
                <w:rFonts w:hint="eastAsia" w:ascii="仿宋" w:hAnsi="仿宋" w:eastAsia="仿宋" w:cs="仿宋"/>
                <w:color w:val="auto"/>
                <w:sz w:val="24"/>
                <w:szCs w:val="24"/>
              </w:rPr>
              <w:t>项目申报、招投标</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政府采购等业务</w:t>
            </w:r>
            <w:r>
              <w:rPr>
                <w:rFonts w:hint="eastAsia" w:ascii="仿宋" w:hAnsi="仿宋" w:eastAsia="仿宋" w:cs="仿宋"/>
                <w:color w:val="auto"/>
                <w:sz w:val="24"/>
                <w:szCs w:val="24"/>
                <w:lang w:val="en-US" w:eastAsia="zh-CN"/>
              </w:rPr>
              <w:t>工作中，全面落实</w:t>
            </w:r>
            <w:r>
              <w:rPr>
                <w:rFonts w:hint="eastAsia" w:ascii="仿宋" w:hAnsi="仿宋" w:eastAsia="仿宋" w:cs="仿宋"/>
                <w:color w:val="auto"/>
                <w:sz w:val="24"/>
                <w:szCs w:val="24"/>
              </w:rPr>
              <w:t>电子证照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电子签章的应用，绝对承认其有效性。</w:t>
            </w:r>
          </w:p>
        </w:tc>
        <w:tc>
          <w:tcPr>
            <w:tcW w:w="1265" w:type="dxa"/>
            <w:vAlign w:val="center"/>
          </w:tcPr>
          <w:p>
            <w:pPr>
              <w:spacing w:line="320" w:lineRule="exact"/>
              <w:ind w:left="100" w:left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13" w:type="dxa"/>
            <w:vAlign w:val="center"/>
          </w:tcPr>
          <w:p>
            <w:pPr>
              <w:spacing w:line="423"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303" w:type="dxa"/>
            <w:vAlign w:val="center"/>
          </w:tcPr>
          <w:p>
            <w:pPr>
              <w:spacing w:line="405"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持续推进</w:t>
            </w:r>
          </w:p>
        </w:tc>
        <w:tc>
          <w:tcPr>
            <w:tcW w:w="1578" w:type="dxa"/>
            <w:vAlign w:val="center"/>
          </w:tcPr>
          <w:p>
            <w:pPr>
              <w:spacing w:line="340" w:lineRule="exact"/>
              <w:ind w:left="140" w:left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电子证照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电子签章得到广泛应用，市场主体和群众办事更加便捷。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atLeast"/>
        </w:trPr>
        <w:tc>
          <w:tcPr>
            <w:tcW w:w="696" w:type="dxa"/>
            <w:vMerge w:val="restart"/>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42" w:type="dxa"/>
            <w:vMerge w:val="restart"/>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建立健全知识产权全链条服务和快保护体系</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执法监督科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深入开展“铁拳”专项行动和打击侵权假冒工作。将知识产权执法深入融入每年的“铁拳”专项行动。定期举办侵权假冒商品集中销毁活动，震慑违法犯罪份子。</w:t>
            </w:r>
          </w:p>
        </w:tc>
        <w:tc>
          <w:tcPr>
            <w:tcW w:w="1265" w:type="dxa"/>
            <w:vAlign w:val="center"/>
          </w:tcPr>
          <w:p>
            <w:pPr>
              <w:spacing w:line="320" w:lineRule="exact"/>
              <w:ind w:left="100" w:leftChars="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打击侵犯知识产权取得明显成效，侵权行为的到有效遏制。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continue"/>
            <w:vAlign w:val="center"/>
          </w:tcPr>
          <w:p>
            <w:pPr>
              <w:spacing w:line="440" w:lineRule="exact"/>
              <w:jc w:val="center"/>
              <w:rPr>
                <w:rFonts w:ascii="仿宋" w:hAnsi="仿宋" w:eastAsia="仿宋" w:cs="仿宋"/>
                <w:color w:val="auto"/>
                <w:sz w:val="24"/>
                <w:szCs w:val="24"/>
              </w:rPr>
            </w:pPr>
          </w:p>
        </w:tc>
        <w:tc>
          <w:tcPr>
            <w:tcW w:w="1742" w:type="dxa"/>
            <w:vMerge w:val="continue"/>
            <w:vAlign w:val="center"/>
          </w:tcPr>
          <w:p>
            <w:pPr>
              <w:spacing w:line="320" w:lineRule="exact"/>
              <w:jc w:val="center"/>
              <w:rPr>
                <w:rFonts w:ascii="仿宋" w:hAnsi="仿宋" w:eastAsia="仿宋" w:cs="仿宋"/>
                <w:color w:val="000000"/>
                <w:sz w:val="24"/>
                <w:szCs w:val="24"/>
              </w:rPr>
            </w:pPr>
          </w:p>
        </w:tc>
        <w:tc>
          <w:tcPr>
            <w:tcW w:w="1425" w:type="dxa"/>
            <w:vAlign w:val="center"/>
          </w:tcPr>
          <w:p>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知识产权</w:t>
            </w:r>
            <w:r>
              <w:rPr>
                <w:rFonts w:hint="eastAsia" w:ascii="仿宋" w:hAnsi="仿宋" w:eastAsia="仿宋" w:cs="仿宋"/>
                <w:color w:val="000000"/>
                <w:sz w:val="24"/>
                <w:szCs w:val="24"/>
                <w:lang w:eastAsia="zh-CN"/>
              </w:rPr>
              <w:t>运用促进科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b w:val="0"/>
                <w:bCs/>
                <w:color w:val="000000"/>
                <w:sz w:val="24"/>
                <w:szCs w:val="24"/>
              </w:rPr>
              <w:t>建成涵盖专利、商标的知识产权服务大厅或专区，全面提升专利、商标申请便利度。</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b w:val="0"/>
                <w:bCs/>
                <w:color w:val="000000"/>
                <w:sz w:val="24"/>
                <w:szCs w:val="24"/>
              </w:rPr>
              <w:t>建成涵盖专利、商标的知识产权服务大厅或专区，全面提升专利、商标申请便宜利度。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进一步探索完善知识产权市场化定价和交易机制</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知识产权运用促进科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b w:val="0"/>
                <w:bCs/>
                <w:color w:val="000000"/>
                <w:sz w:val="24"/>
                <w:szCs w:val="24"/>
              </w:rPr>
              <w:t>指导促进知识产权评估体系、制度建设，规范评估行为，提高评估能力，进一步落实知识产权质押融资支持</w:t>
            </w:r>
            <w:r>
              <w:rPr>
                <w:rFonts w:hint="eastAsia" w:ascii="仿宋" w:hAnsi="仿宋" w:eastAsia="仿宋" w:cs="仿宋"/>
                <w:b w:val="0"/>
                <w:bCs/>
                <w:color w:val="000000"/>
                <w:sz w:val="24"/>
                <w:szCs w:val="24"/>
                <w:lang w:eastAsia="zh-CN"/>
              </w:rPr>
              <w:t>政策措施</w:t>
            </w:r>
            <w:r>
              <w:rPr>
                <w:rFonts w:hint="eastAsia" w:ascii="仿宋" w:hAnsi="仿宋" w:eastAsia="仿宋" w:cs="仿宋"/>
                <w:b w:val="0"/>
                <w:bCs/>
                <w:color w:val="000000"/>
                <w:sz w:val="24"/>
                <w:szCs w:val="24"/>
              </w:rPr>
              <w:t>，持续落实知识产权质押融资补助工作，强化“政企银保服”联动，推动知识产权质押融资。</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指导有资质的知识产权交易机构规范开展知识产权交易活动和知识产权评估、质押融资服务</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指导有资质的知识产权交易机构规范开展知识产权交易活动和知识产权评估、质押融资服务</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指导有资质的知识产权交易机构规范开展知识产权交易活动和知识产权评估、质押融资服务</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b w:val="0"/>
                <w:bCs/>
                <w:color w:val="000000"/>
                <w:sz w:val="24"/>
                <w:szCs w:val="24"/>
              </w:rPr>
              <w:t>知识产权评估行为规范有序、知识产权交易行为公平合理，质押融资活跃有力。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健全知识产权质押融资风险分担机制和质物处置机制</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知识产权运用促进科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b w:val="0"/>
                <w:bCs/>
                <w:color w:val="000000"/>
                <w:sz w:val="24"/>
                <w:szCs w:val="24"/>
              </w:rPr>
              <w:t>强化知识产权运用，提升知识产权融资效益，落实开展知识产权质押融资“入园惠企”专项行动、推动知识产权质押融资；在银行、保险机构推动实施下，通过知识产权金融创新促进知识产权价值实现。</w:t>
            </w:r>
          </w:p>
        </w:tc>
        <w:tc>
          <w:tcPr>
            <w:tcW w:w="1265" w:type="dxa"/>
            <w:vAlign w:val="center"/>
          </w:tcPr>
          <w:p>
            <w:pPr>
              <w:spacing w:line="240" w:lineRule="auto"/>
              <w:ind w:left="100"/>
              <w:jc w:val="center"/>
              <w:rPr>
                <w:rFonts w:ascii="仿宋" w:hAnsi="仿宋" w:eastAsia="仿宋" w:cs="仿宋"/>
                <w:color w:val="000000"/>
                <w:sz w:val="24"/>
                <w:szCs w:val="24"/>
              </w:rPr>
            </w:pPr>
            <w:r>
              <w:rPr>
                <w:rFonts w:hint="eastAsia" w:ascii="仿宋" w:hAnsi="仿宋" w:eastAsia="仿宋" w:cs="仿宋"/>
                <w:b w:val="0"/>
                <w:bCs/>
                <w:color w:val="000000"/>
                <w:sz w:val="24"/>
                <w:szCs w:val="24"/>
              </w:rPr>
              <w:t>开展知识产权质押贷款补助工作，与中国银行大同分共同开展商标质押助力餐饮、文旅等重点行业纾困“知惠行”专项活动，与相关银行等金融机构签署知识产权融资战略合作协议</w:t>
            </w:r>
          </w:p>
        </w:tc>
        <w:tc>
          <w:tcPr>
            <w:tcW w:w="1313" w:type="dxa"/>
            <w:vAlign w:val="center"/>
          </w:tcPr>
          <w:p>
            <w:pPr>
              <w:spacing w:line="240" w:lineRule="auto"/>
              <w:jc w:val="left"/>
              <w:rPr>
                <w:rFonts w:ascii="仿宋" w:hAnsi="仿宋" w:eastAsia="仿宋" w:cs="仿宋"/>
                <w:color w:val="000000"/>
                <w:sz w:val="24"/>
                <w:szCs w:val="24"/>
              </w:rPr>
            </w:pPr>
            <w:r>
              <w:rPr>
                <w:rFonts w:hint="eastAsia" w:ascii="仿宋" w:hAnsi="仿宋" w:eastAsia="仿宋" w:cs="仿宋"/>
                <w:b w:val="0"/>
                <w:bCs/>
                <w:color w:val="000000"/>
                <w:sz w:val="24"/>
                <w:szCs w:val="24"/>
              </w:rPr>
              <w:t>落实省知识产权局知识产权质押贷款补助工作，与中国银行大同分行继续开展知识产权入园惠企行动。</w:t>
            </w:r>
          </w:p>
        </w:tc>
        <w:tc>
          <w:tcPr>
            <w:tcW w:w="1303" w:type="dxa"/>
            <w:vAlign w:val="center"/>
          </w:tcPr>
          <w:p>
            <w:pPr>
              <w:spacing w:line="240" w:lineRule="auto"/>
              <w:jc w:val="left"/>
              <w:rPr>
                <w:rFonts w:ascii="仿宋" w:hAnsi="仿宋" w:eastAsia="仿宋" w:cs="仿宋"/>
                <w:color w:val="000000"/>
                <w:sz w:val="24"/>
                <w:szCs w:val="24"/>
              </w:rPr>
            </w:pPr>
            <w:r>
              <w:rPr>
                <w:rFonts w:hint="eastAsia" w:ascii="仿宋" w:hAnsi="仿宋" w:eastAsia="仿宋" w:cs="仿宋"/>
                <w:b w:val="0"/>
                <w:bCs/>
                <w:color w:val="000000"/>
                <w:sz w:val="24"/>
                <w:szCs w:val="24"/>
              </w:rPr>
              <w:t>开展知识产权质押贷款补助工作，与中国银行大同分行共同开展商标质押助力餐饮、文旅等重点行业纾困“知惠行”专项活动，与相关银行等金融机构签署知识产权融资战略合作协议</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b w:val="0"/>
                <w:bCs/>
                <w:color w:val="000000"/>
                <w:sz w:val="24"/>
                <w:szCs w:val="24"/>
              </w:rPr>
              <w:t>完成各年度知识产权质押贷款补助工作。知识产权运用能力明显提升，知识产权融资效益显著加强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强化对专利代理机构的监管</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知识产权运用促进科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承接省</w:t>
            </w:r>
            <w:r>
              <w:rPr>
                <w:rFonts w:hint="eastAsia" w:ascii="仿宋" w:hAnsi="仿宋" w:eastAsia="仿宋" w:cs="仿宋"/>
                <w:color w:val="000000"/>
                <w:sz w:val="24"/>
                <w:szCs w:val="24"/>
                <w:lang w:eastAsia="zh-CN"/>
              </w:rPr>
              <w:t>局</w:t>
            </w:r>
            <w:r>
              <w:rPr>
                <w:rFonts w:hint="eastAsia" w:ascii="仿宋" w:hAnsi="仿宋" w:eastAsia="仿宋" w:cs="仿宋"/>
                <w:color w:val="000000"/>
                <w:sz w:val="24"/>
                <w:szCs w:val="24"/>
              </w:rPr>
              <w:t>委托下放专利代理机构职能，加强业务培训，明确监管范围，健全监管程序，开展执法检查。</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探索建立市场主体除名制度</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信用监管科</w:t>
            </w:r>
            <w:r>
              <w:rPr>
                <w:rFonts w:hint="eastAsia" w:ascii="仿宋" w:hAnsi="仿宋" w:eastAsia="仿宋" w:cs="仿宋"/>
                <w:color w:val="auto"/>
                <w:sz w:val="24"/>
                <w:szCs w:val="24"/>
                <w:lang w:eastAsia="zh-CN"/>
              </w:rPr>
              <w:t>牵头，各县（区）市场监督管理局、开发区分局配合。</w:t>
            </w:r>
          </w:p>
        </w:tc>
        <w:tc>
          <w:tcPr>
            <w:tcW w:w="510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对被列入经营异常名录或者被标记为经营异常状态满两年，且近两年未申报纳税的市场主体，</w:t>
            </w:r>
            <w:r>
              <w:rPr>
                <w:rFonts w:hint="eastAsia" w:ascii="仿宋" w:hAnsi="仿宋" w:eastAsia="仿宋" w:cs="仿宋"/>
                <w:color w:val="auto"/>
                <w:sz w:val="24"/>
                <w:szCs w:val="24"/>
                <w:lang w:eastAsia="zh-CN"/>
              </w:rPr>
              <w:t>依法依规</w:t>
            </w:r>
            <w:r>
              <w:rPr>
                <w:rFonts w:hint="eastAsia" w:ascii="仿宋" w:hAnsi="仿宋" w:eastAsia="仿宋" w:cs="仿宋"/>
                <w:color w:val="auto"/>
                <w:sz w:val="24"/>
                <w:szCs w:val="24"/>
              </w:rPr>
              <w:t>吊销营业执照</w:t>
            </w:r>
            <w:r>
              <w:rPr>
                <w:rFonts w:hint="eastAsia" w:ascii="仿宋" w:hAnsi="仿宋" w:eastAsia="仿宋" w:cs="仿宋"/>
                <w:color w:val="auto"/>
                <w:sz w:val="24"/>
                <w:szCs w:val="24"/>
                <w:lang w:eastAsia="zh-CN"/>
              </w:rPr>
              <w:t>，并通过《山西市场监管综合业务管理系统》</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国家企业信用信息公示系统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中公示。</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进一步完善市场主体退出机制。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探索形成市场主体全生命周期监管链</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信用监管科等相关业务科室</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auto"/>
                <w:sz w:val="24"/>
                <w:szCs w:val="24"/>
              </w:rPr>
              <w:t>按照省政府办公厅《国家企业信用信息公示系统（山西）管理暂行办法》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市场监管总局《关于推进企业信用风险分类管理进一步提升监管效能的意见》</w:t>
            </w:r>
            <w:r>
              <w:rPr>
                <w:rFonts w:hint="eastAsia" w:ascii="仿宋" w:hAnsi="仿宋" w:eastAsia="仿宋" w:cs="仿宋"/>
                <w:color w:val="auto"/>
                <w:sz w:val="24"/>
                <w:szCs w:val="24"/>
                <w:lang w:eastAsia="zh-CN"/>
              </w:rPr>
              <w:t>和山西省市场监管局</w:t>
            </w:r>
            <w:r>
              <w:rPr>
                <w:rFonts w:hint="eastAsia" w:ascii="仿宋" w:hAnsi="仿宋" w:eastAsia="仿宋" w:cs="仿宋"/>
                <w:color w:val="auto"/>
                <w:sz w:val="24"/>
                <w:szCs w:val="24"/>
              </w:rPr>
              <w:t>有关要求持续推进。</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持续推进涉</w:t>
            </w:r>
            <w:r>
              <w:rPr>
                <w:rFonts w:hint="eastAsia" w:ascii="仿宋" w:hAnsi="仿宋" w:eastAsia="仿宋" w:cs="仿宋"/>
                <w:color w:val="000000"/>
                <w:sz w:val="24"/>
                <w:szCs w:val="24"/>
                <w:lang w:eastAsia="zh-CN"/>
              </w:rPr>
              <w:t>企</w:t>
            </w:r>
            <w:r>
              <w:rPr>
                <w:rFonts w:hint="eastAsia" w:ascii="仿宋" w:hAnsi="仿宋" w:eastAsia="仿宋" w:cs="仿宋"/>
                <w:color w:val="000000"/>
                <w:sz w:val="24"/>
                <w:szCs w:val="24"/>
              </w:rPr>
              <w:t>信息归集公示和企业信用风险分类管理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完善守信激励和失信惩戒制度</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信用监管科等相关业务科室</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auto"/>
                <w:sz w:val="24"/>
                <w:szCs w:val="24"/>
              </w:rPr>
              <w:t>根据国家市场监管总局</w:t>
            </w:r>
            <w:r>
              <w:rPr>
                <w:rFonts w:hint="eastAsia" w:ascii="仿宋" w:hAnsi="仿宋" w:eastAsia="仿宋" w:cs="仿宋"/>
                <w:color w:val="auto"/>
                <w:sz w:val="24"/>
                <w:szCs w:val="24"/>
                <w:lang w:eastAsia="zh-CN"/>
              </w:rPr>
              <w:t>和和山西省市场监管局</w:t>
            </w:r>
            <w:r>
              <w:rPr>
                <w:rFonts w:hint="eastAsia" w:ascii="仿宋" w:hAnsi="仿宋" w:eastAsia="仿宋" w:cs="仿宋"/>
                <w:color w:val="auto"/>
                <w:sz w:val="24"/>
                <w:szCs w:val="24"/>
              </w:rPr>
              <w:t>的安排，结合我市实际，配合市发改委等部门，推进市场监管部门及部门间惩戒措施落实落地。</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进一步加大</w:t>
            </w:r>
            <w:r>
              <w:rPr>
                <w:rFonts w:hint="eastAsia" w:ascii="仿宋" w:hAnsi="仿宋" w:eastAsia="仿宋" w:cs="仿宋"/>
                <w:color w:val="000000"/>
                <w:sz w:val="24"/>
                <w:szCs w:val="24"/>
                <w:lang w:eastAsia="zh-CN"/>
              </w:rPr>
              <w:t>失信</w:t>
            </w:r>
            <w:r>
              <w:rPr>
                <w:rFonts w:hint="eastAsia" w:ascii="仿宋" w:hAnsi="仿宋" w:eastAsia="仿宋" w:cs="仿宋"/>
                <w:color w:val="000000"/>
                <w:sz w:val="24"/>
                <w:szCs w:val="24"/>
              </w:rPr>
              <w:t>惩戒力度，促进</w:t>
            </w:r>
            <w:r>
              <w:rPr>
                <w:rFonts w:hint="eastAsia" w:ascii="仿宋" w:hAnsi="仿宋" w:eastAsia="仿宋" w:cs="仿宋"/>
                <w:color w:val="000000"/>
                <w:sz w:val="24"/>
                <w:szCs w:val="24"/>
                <w:lang w:eastAsia="zh-CN"/>
              </w:rPr>
              <w:t>企</w:t>
            </w:r>
            <w:r>
              <w:rPr>
                <w:rFonts w:hint="eastAsia" w:ascii="仿宋" w:hAnsi="仿宋" w:eastAsia="仿宋" w:cs="仿宋"/>
                <w:color w:val="000000"/>
                <w:sz w:val="24"/>
                <w:szCs w:val="24"/>
              </w:rPr>
              <w:t>业诚信建</w:t>
            </w:r>
            <w:r>
              <w:rPr>
                <w:rFonts w:hint="eastAsia" w:ascii="仿宋" w:hAnsi="仿宋" w:eastAsia="仿宋" w:cs="仿宋"/>
                <w:color w:val="000000"/>
                <w:sz w:val="24"/>
                <w:szCs w:val="24"/>
                <w:lang w:eastAsia="zh-CN"/>
              </w:rPr>
              <w:t>设</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加快构建新型综合监管机制</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18"/>
                <w:szCs w:val="18"/>
                <w:lang w:eastAsia="zh-CN"/>
              </w:rPr>
              <w:t>信用监管科牵头，市局</w:t>
            </w:r>
            <w:r>
              <w:rPr>
                <w:rFonts w:hint="eastAsia" w:ascii="仿宋" w:hAnsi="仿宋" w:eastAsia="仿宋" w:cs="仿宋"/>
                <w:color w:val="auto"/>
                <w:sz w:val="18"/>
                <w:szCs w:val="18"/>
                <w:lang w:val="en-US" w:eastAsia="zh-CN"/>
              </w:rPr>
              <w:t>消保科、直销科、网监科、广告科、产品质量科、食品生产科、食品流通科、餐饮科、食品药品抽检科、特设科、计量科、认证科、知产促进科、价监科、</w:t>
            </w:r>
            <w:r>
              <w:rPr>
                <w:rFonts w:hint="eastAsia" w:ascii="仿宋" w:hAnsi="仿宋" w:eastAsia="仿宋" w:cs="仿宋"/>
                <w:color w:val="auto"/>
                <w:sz w:val="18"/>
                <w:szCs w:val="18"/>
                <w:lang w:eastAsia="zh-CN"/>
              </w:rPr>
              <w:t>各县（区）市场监督管理局、开发区分局</w:t>
            </w:r>
            <w:r>
              <w:rPr>
                <w:rFonts w:hint="eastAsia" w:ascii="仿宋" w:hAnsi="仿宋" w:eastAsia="仿宋" w:cs="仿宋"/>
                <w:color w:val="auto"/>
                <w:sz w:val="18"/>
                <w:szCs w:val="18"/>
                <w:lang w:val="en-US" w:eastAsia="zh-CN"/>
              </w:rPr>
              <w:t>等</w:t>
            </w:r>
            <w:r>
              <w:rPr>
                <w:rFonts w:hint="eastAsia" w:ascii="仿宋" w:hAnsi="仿宋" w:eastAsia="仿宋" w:cs="仿宋"/>
                <w:color w:val="auto"/>
                <w:sz w:val="18"/>
                <w:szCs w:val="18"/>
                <w:lang w:eastAsia="zh-CN"/>
              </w:rPr>
              <w:t>配合。</w:t>
            </w:r>
          </w:p>
        </w:tc>
        <w:tc>
          <w:tcPr>
            <w:tcW w:w="510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按照国家市场监管总局</w:t>
            </w:r>
            <w:r>
              <w:rPr>
                <w:rFonts w:hint="eastAsia" w:ascii="仿宋" w:hAnsi="仿宋" w:eastAsia="仿宋" w:cs="仿宋"/>
                <w:color w:val="auto"/>
                <w:sz w:val="24"/>
                <w:szCs w:val="24"/>
                <w:lang w:eastAsia="zh-CN"/>
              </w:rPr>
              <w:t>和山西省市场监管局</w:t>
            </w:r>
            <w:r>
              <w:rPr>
                <w:rFonts w:hint="eastAsia" w:ascii="仿宋" w:hAnsi="仿宋" w:eastAsia="仿宋" w:cs="仿宋"/>
                <w:color w:val="auto"/>
                <w:sz w:val="24"/>
                <w:szCs w:val="24"/>
              </w:rPr>
              <w:t>要求，</w:t>
            </w:r>
            <w:r>
              <w:rPr>
                <w:rFonts w:hint="eastAsia" w:ascii="仿宋" w:hAnsi="仿宋" w:eastAsia="仿宋" w:cs="仿宋"/>
                <w:color w:val="auto"/>
                <w:sz w:val="24"/>
                <w:szCs w:val="24"/>
                <w:lang w:val="en-US" w:eastAsia="zh-CN"/>
              </w:rPr>
              <w:t>构建以“双随机、一公开”为基本手段,以重点监管为补充,以信用监管为基础的新型监管机制。</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持续推进“双随机、一公开”监管和信用监管工作。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742" w:type="dxa"/>
            <w:vAlign w:val="center"/>
          </w:tcPr>
          <w:p>
            <w:pPr>
              <w:spacing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建立跨地区、跨部门、跨层级的联动响应和协同监管机制</w:t>
            </w:r>
          </w:p>
        </w:tc>
        <w:tc>
          <w:tcPr>
            <w:tcW w:w="1425" w:type="dxa"/>
            <w:vAlign w:val="center"/>
          </w:tcPr>
          <w:p>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办公室牵头，执法监督科、法规科配合。</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lang w:eastAsia="zh-CN"/>
              </w:rPr>
              <w:t>督促各业务科室按要求完成“互联网</w:t>
            </w:r>
            <w:r>
              <w:rPr>
                <w:rFonts w:hint="eastAsia" w:ascii="仿宋" w:hAnsi="仿宋" w:eastAsia="仿宋" w:cs="仿宋"/>
                <w:color w:val="000000"/>
                <w:sz w:val="24"/>
                <w:szCs w:val="24"/>
                <w:lang w:val="en-US" w:eastAsia="zh-CN"/>
              </w:rPr>
              <w:t>+监管</w:t>
            </w:r>
            <w:r>
              <w:rPr>
                <w:rFonts w:hint="eastAsia" w:ascii="仿宋" w:hAnsi="仿宋" w:eastAsia="仿宋" w:cs="仿宋"/>
                <w:color w:val="000000"/>
                <w:sz w:val="24"/>
                <w:szCs w:val="24"/>
                <w:lang w:eastAsia="zh-CN"/>
              </w:rPr>
              <w:t>”中检查行为、处罚行为、其他行为等数据录入，依托系统相关功能实施联动响应和协调监管。</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240" w:lineRule="auto"/>
              <w:ind w:left="140"/>
              <w:jc w:val="left"/>
              <w:rPr>
                <w:rFonts w:ascii="仿宋" w:hAnsi="仿宋" w:eastAsia="仿宋" w:cs="仿宋"/>
                <w:color w:val="000000"/>
                <w:sz w:val="24"/>
                <w:szCs w:val="24"/>
              </w:rPr>
            </w:pPr>
            <w:r>
              <w:rPr>
                <w:rFonts w:hint="eastAsia" w:ascii="仿宋" w:hAnsi="仿宋" w:eastAsia="仿宋" w:cs="仿宋"/>
                <w:color w:val="000000"/>
                <w:sz w:val="24"/>
                <w:szCs w:val="24"/>
              </w:rPr>
              <w:t>推动监管事项</w:t>
            </w:r>
            <w:r>
              <w:rPr>
                <w:rFonts w:hint="eastAsia" w:ascii="仿宋" w:hAnsi="仿宋" w:eastAsia="仿宋" w:cs="仿宋"/>
                <w:color w:val="000000"/>
                <w:sz w:val="24"/>
                <w:szCs w:val="24"/>
                <w:lang w:eastAsia="zh-CN"/>
              </w:rPr>
              <w:t>全</w:t>
            </w:r>
            <w:r>
              <w:rPr>
                <w:rFonts w:hint="eastAsia" w:ascii="仿宋" w:hAnsi="仿宋" w:eastAsia="仿宋" w:cs="仿宋"/>
                <w:color w:val="000000"/>
                <w:sz w:val="24"/>
                <w:szCs w:val="24"/>
              </w:rPr>
              <w:t>覆盖、监管过程</w:t>
            </w:r>
            <w:r>
              <w:rPr>
                <w:rFonts w:hint="eastAsia" w:ascii="仿宋" w:hAnsi="仿宋" w:eastAsia="仿宋" w:cs="仿宋"/>
                <w:color w:val="000000"/>
                <w:sz w:val="24"/>
                <w:szCs w:val="24"/>
                <w:lang w:eastAsia="zh-CN"/>
              </w:rPr>
              <w:t>全</w:t>
            </w:r>
            <w:r>
              <w:rPr>
                <w:rFonts w:hint="eastAsia" w:ascii="仿宋" w:hAnsi="仿宋" w:eastAsia="仿宋" w:cs="仿宋"/>
                <w:color w:val="000000"/>
                <w:sz w:val="24"/>
                <w:szCs w:val="24"/>
              </w:rPr>
              <w:t>记录和监管数据可共享、可分析、可预警，不断提升监管能力和水平。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推进建立交通运输新业态协同监管机制</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反垄断和反不正当竞争科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highlight w:val="none"/>
              </w:rPr>
              <w:t>关注交通运输新业态热点问题，依法受理投诉举报，加强竞争执法力度，</w:t>
            </w:r>
            <w:r>
              <w:rPr>
                <w:rFonts w:hint="eastAsia" w:ascii="仿宋" w:hAnsi="仿宋" w:eastAsia="仿宋" w:cs="仿宋"/>
                <w:color w:val="000000"/>
                <w:sz w:val="24"/>
                <w:szCs w:val="24"/>
                <w:highlight w:val="none"/>
                <w:lang w:val="en-US" w:eastAsia="zh-CN"/>
              </w:rPr>
              <w:t>监管交通运输新业态领域存在的</w:t>
            </w:r>
            <w:r>
              <w:rPr>
                <w:rFonts w:hint="eastAsia" w:ascii="仿宋" w:hAnsi="仿宋" w:eastAsia="仿宋" w:cs="仿宋"/>
                <w:color w:val="000000"/>
                <w:sz w:val="24"/>
                <w:szCs w:val="24"/>
                <w:highlight w:val="none"/>
              </w:rPr>
              <w:t>垄断行为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查处交通运输新业态领域中存在的不正当竞争行为。</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进一步维护我市交通</w:t>
            </w:r>
            <w:r>
              <w:rPr>
                <w:rFonts w:hint="eastAsia" w:ascii="仿宋" w:hAnsi="仿宋" w:eastAsia="仿宋" w:cs="仿宋"/>
                <w:color w:val="000000"/>
                <w:sz w:val="24"/>
                <w:szCs w:val="24"/>
                <w:lang w:eastAsia="zh-CN"/>
              </w:rPr>
              <w:t>领域</w:t>
            </w:r>
            <w:r>
              <w:rPr>
                <w:rFonts w:hint="eastAsia" w:ascii="仿宋" w:hAnsi="仿宋" w:eastAsia="仿宋" w:cs="仿宋"/>
                <w:color w:val="000000"/>
                <w:sz w:val="24"/>
                <w:szCs w:val="24"/>
              </w:rPr>
              <w:t>公平竞争秩序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19</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建立不予实施行政强制措施清单</w:t>
            </w:r>
          </w:p>
        </w:tc>
        <w:tc>
          <w:tcPr>
            <w:tcW w:w="1425" w:type="dxa"/>
            <w:vAlign w:val="center"/>
          </w:tcPr>
          <w:p>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执法监督科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结合大同市市场监管领域包容免罚清单和省局不予实施行政强制措施清单，在大同市市场监管领域贯彻落实不予实施行政强制实施清单。</w:t>
            </w:r>
          </w:p>
        </w:tc>
        <w:tc>
          <w:tcPr>
            <w:tcW w:w="1265" w:type="dxa"/>
            <w:vAlign w:val="center"/>
          </w:tcPr>
          <w:p>
            <w:pPr>
              <w:spacing w:line="320" w:lineRule="exact"/>
              <w:ind w:left="100"/>
              <w:jc w:val="left"/>
              <w:rPr>
                <w:rFonts w:ascii="仿宋" w:hAnsi="仿宋" w:eastAsia="仿宋" w:cs="仿宋"/>
                <w:color w:val="000000"/>
                <w:sz w:val="24"/>
                <w:szCs w:val="24"/>
              </w:rPr>
            </w:pPr>
            <w:r>
              <w:rPr>
                <w:rFonts w:hint="eastAsia" w:ascii="仿宋" w:hAnsi="仿宋" w:eastAsia="仿宋" w:cs="仿宋"/>
                <w:color w:val="000000"/>
                <w:sz w:val="24"/>
                <w:szCs w:val="24"/>
              </w:rPr>
              <w:t>在大同市市场监管</w:t>
            </w:r>
            <w:r>
              <w:rPr>
                <w:rFonts w:hint="eastAsia" w:ascii="仿宋" w:hAnsi="仿宋" w:eastAsia="仿宋" w:cs="仿宋"/>
                <w:color w:val="000000"/>
                <w:sz w:val="24"/>
                <w:szCs w:val="24"/>
                <w:lang w:eastAsia="zh-CN"/>
              </w:rPr>
              <w:t>领域</w:t>
            </w:r>
            <w:r>
              <w:rPr>
                <w:rFonts w:hint="eastAsia" w:ascii="仿宋" w:hAnsi="仿宋" w:eastAsia="仿宋" w:cs="仿宋"/>
                <w:color w:val="000000"/>
                <w:sz w:val="24"/>
                <w:szCs w:val="24"/>
              </w:rPr>
              <w:t>落实不予实施行政强制措施清单</w:t>
            </w:r>
          </w:p>
        </w:tc>
        <w:tc>
          <w:tcPr>
            <w:tcW w:w="1313" w:type="dxa"/>
            <w:vAlign w:val="center"/>
          </w:tcPr>
          <w:p>
            <w:pPr>
              <w:spacing w:line="423"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303" w:type="dxa"/>
            <w:vAlign w:val="center"/>
          </w:tcPr>
          <w:p>
            <w:pPr>
              <w:spacing w:line="405"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包容审慎监管理念进一步树立，行政执法更加规范、文明。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探索建立行政执法人员尽职免责制度</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法规科</w:t>
            </w:r>
          </w:p>
        </w:tc>
        <w:tc>
          <w:tcPr>
            <w:tcW w:w="5101" w:type="dxa"/>
          </w:tcPr>
          <w:p>
            <w:pPr>
              <w:spacing w:before="264" w:line="340" w:lineRule="exact"/>
              <w:jc w:val="left"/>
              <w:rPr>
                <w:rFonts w:ascii="仿宋" w:hAnsi="仿宋" w:eastAsia="仿宋" w:cs="仿宋"/>
                <w:color w:val="000000"/>
                <w:sz w:val="24"/>
                <w:szCs w:val="24"/>
              </w:rPr>
            </w:pPr>
            <w:r>
              <w:rPr>
                <w:rFonts w:hint="eastAsia" w:ascii="仿宋_GB2312" w:hAnsi="仿宋_GB2312" w:eastAsia="仿宋_GB2312" w:cs="仿宋_GB2312"/>
                <w:i w:val="0"/>
                <w:iCs w:val="0"/>
                <w:color w:val="auto"/>
                <w:kern w:val="0"/>
                <w:sz w:val="24"/>
                <w:szCs w:val="24"/>
                <w:u w:val="none"/>
                <w:lang w:val="en-US" w:eastAsia="zh-CN" w:bidi="ar"/>
              </w:rPr>
              <w:t>结合省市场监管局修订《山西省市场监管领域支持促进市场监管执法人员尽职担当的规定》要求，探索建立、修订完善行政执法人员尽职免责制度</w:t>
            </w:r>
          </w:p>
        </w:tc>
        <w:tc>
          <w:tcPr>
            <w:tcW w:w="1265" w:type="dxa"/>
            <w:vAlign w:val="center"/>
          </w:tcPr>
          <w:p>
            <w:pPr>
              <w:spacing w:line="320" w:lineRule="exact"/>
              <w:ind w:left="100" w:leftChars="0"/>
              <w:jc w:val="center"/>
              <w:rPr>
                <w:rFonts w:ascii="仿宋" w:hAnsi="仿宋" w:eastAsia="仿宋" w:cs="仿宋"/>
                <w:color w:val="000000"/>
                <w:sz w:val="24"/>
                <w:szCs w:val="24"/>
              </w:rPr>
            </w:pPr>
            <w:r>
              <w:rPr>
                <w:rFonts w:hint="eastAsia" w:ascii="仿宋" w:hAnsi="仿宋" w:eastAsia="仿宋" w:cs="仿宋"/>
                <w:color w:val="000000"/>
                <w:sz w:val="24"/>
                <w:szCs w:val="24"/>
              </w:rPr>
              <w:t>调研</w:t>
            </w:r>
            <w:r>
              <w:rPr>
                <w:rFonts w:hint="eastAsia" w:ascii="仿宋" w:hAnsi="仿宋" w:eastAsia="仿宋" w:cs="仿宋"/>
                <w:color w:val="000000"/>
                <w:sz w:val="24"/>
                <w:szCs w:val="24"/>
                <w:lang w:eastAsia="zh-CN"/>
              </w:rPr>
              <w:t>征询</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探索建立</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修订完善</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努力为执法人员管造敢为人先、敢于担当的良好市场监管环境，保护执法人员干事创业的积极性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restart"/>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21</w:t>
            </w:r>
          </w:p>
        </w:tc>
        <w:tc>
          <w:tcPr>
            <w:tcW w:w="1742" w:type="dxa"/>
            <w:vMerge w:val="restart"/>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在部分重点领域建立事前事中事后全流程监管机制</w:t>
            </w:r>
          </w:p>
        </w:tc>
        <w:tc>
          <w:tcPr>
            <w:tcW w:w="1425" w:type="dxa"/>
            <w:vAlign w:val="center"/>
          </w:tcPr>
          <w:p>
            <w:pPr>
              <w:spacing w:line="450" w:lineRule="exact"/>
              <w:jc w:val="center"/>
              <w:rPr>
                <w:rFonts w:ascii="仿宋" w:hAnsi="仿宋" w:eastAsia="仿宋" w:cs="仿宋"/>
                <w:color w:val="auto"/>
                <w:sz w:val="24"/>
                <w:szCs w:val="24"/>
              </w:rPr>
            </w:pPr>
            <w:r>
              <w:rPr>
                <w:rFonts w:hint="eastAsia" w:ascii="仿宋" w:hAnsi="仿宋" w:eastAsia="仿宋" w:cs="仿宋"/>
                <w:color w:val="auto"/>
                <w:sz w:val="24"/>
                <w:szCs w:val="24"/>
              </w:rPr>
              <w:t>食品生产科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sz w:val="24"/>
                <w:szCs w:val="24"/>
              </w:rPr>
              <w:t>对食品生产企业施行全面风险分级管理。配合省局对重点食品生产企业开展体系检查、对国家和省级抽检不合格企业开展飞行检查。组织对市级抽检不合格企业和小作坊开展飞行检查。</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风险分圾率达到</w:t>
            </w:r>
            <w:r>
              <w:rPr>
                <w:rFonts w:ascii="仿宋" w:hAnsi="仿宋" w:eastAsia="仿宋" w:cs="仿宋"/>
                <w:color w:val="000000"/>
                <w:sz w:val="24"/>
                <w:szCs w:val="24"/>
              </w:rPr>
              <w:t>100%</w:t>
            </w:r>
            <w:r>
              <w:rPr>
                <w:rFonts w:hint="eastAsia" w:ascii="仿宋" w:hAnsi="仿宋" w:eastAsia="仿宋" w:cs="仿宋"/>
                <w:color w:val="000000"/>
                <w:sz w:val="24"/>
                <w:szCs w:val="24"/>
              </w:rPr>
              <w:t>形成检查报告和整改报告，提升重点企业食品生产安全水平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35" w:hRule="atLeast"/>
        </w:trPr>
        <w:tc>
          <w:tcPr>
            <w:tcW w:w="696" w:type="dxa"/>
            <w:vMerge w:val="continue"/>
            <w:vAlign w:val="center"/>
          </w:tcPr>
          <w:p>
            <w:pPr>
              <w:spacing w:line="440" w:lineRule="exact"/>
              <w:jc w:val="center"/>
              <w:rPr>
                <w:rFonts w:ascii="仿宋" w:hAnsi="仿宋" w:eastAsia="仿宋" w:cs="仿宋"/>
                <w:color w:val="auto"/>
                <w:sz w:val="24"/>
                <w:szCs w:val="24"/>
              </w:rPr>
            </w:pPr>
          </w:p>
        </w:tc>
        <w:tc>
          <w:tcPr>
            <w:tcW w:w="1742" w:type="dxa"/>
            <w:vMerge w:val="continue"/>
            <w:vAlign w:val="center"/>
          </w:tcPr>
          <w:p>
            <w:pPr>
              <w:spacing w:line="320" w:lineRule="exact"/>
              <w:jc w:val="center"/>
              <w:rPr>
                <w:rFonts w:ascii="仿宋" w:hAnsi="仿宋" w:eastAsia="仿宋" w:cs="仿宋"/>
                <w:color w:val="000000"/>
                <w:sz w:val="24"/>
                <w:szCs w:val="24"/>
              </w:rPr>
            </w:pPr>
          </w:p>
        </w:tc>
        <w:tc>
          <w:tcPr>
            <w:tcW w:w="1425" w:type="dxa"/>
            <w:vAlign w:val="center"/>
          </w:tcPr>
          <w:p>
            <w:pPr>
              <w:spacing w:line="450" w:lineRule="exact"/>
              <w:jc w:val="center"/>
              <w:rPr>
                <w:rFonts w:ascii="仿宋" w:hAnsi="仿宋" w:eastAsia="仿宋" w:cs="仿宋"/>
                <w:color w:val="auto"/>
                <w:sz w:val="24"/>
                <w:szCs w:val="24"/>
              </w:rPr>
            </w:pPr>
            <w:r>
              <w:rPr>
                <w:rFonts w:hint="eastAsia" w:ascii="仿宋" w:hAnsi="仿宋" w:eastAsia="仿宋" w:cs="仿宋"/>
                <w:color w:val="auto"/>
                <w:sz w:val="24"/>
                <w:szCs w:val="24"/>
              </w:rPr>
              <w:t>食品流通科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对重点品种、重点场所、重点环节等开展市本级飞行检查和监督检查，建立完善食品流通环节特殊食品等重点品种的迫溯体系。</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开展飞行检查3</w:t>
            </w:r>
            <w:r>
              <w:rPr>
                <w:rFonts w:ascii="仿宋" w:hAnsi="仿宋" w:eastAsia="仿宋" w:cs="仿宋"/>
                <w:color w:val="000000"/>
                <w:sz w:val="24"/>
                <w:szCs w:val="24"/>
              </w:rPr>
              <w:t>0</w:t>
            </w:r>
            <w:r>
              <w:rPr>
                <w:rFonts w:hint="eastAsia" w:ascii="仿宋" w:hAnsi="仿宋" w:eastAsia="仿宋" w:cs="仿宋"/>
                <w:color w:val="000000"/>
                <w:sz w:val="24"/>
                <w:szCs w:val="24"/>
              </w:rPr>
              <w:t>家次；将部分特殊食品总经销（代理）纳入追溯体系。</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建立食品流通环节追溯体系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continue"/>
            <w:vAlign w:val="center"/>
          </w:tcPr>
          <w:p>
            <w:pPr>
              <w:spacing w:line="440" w:lineRule="exact"/>
              <w:jc w:val="center"/>
              <w:rPr>
                <w:rFonts w:ascii="仿宋" w:hAnsi="仿宋" w:eastAsia="仿宋" w:cs="仿宋"/>
                <w:color w:val="auto"/>
                <w:sz w:val="24"/>
                <w:szCs w:val="24"/>
              </w:rPr>
            </w:pPr>
          </w:p>
        </w:tc>
        <w:tc>
          <w:tcPr>
            <w:tcW w:w="1742" w:type="dxa"/>
            <w:vMerge w:val="continue"/>
            <w:vAlign w:val="center"/>
          </w:tcPr>
          <w:p>
            <w:pPr>
              <w:spacing w:line="320" w:lineRule="exact"/>
              <w:jc w:val="center"/>
              <w:rPr>
                <w:rFonts w:ascii="仿宋" w:hAnsi="仿宋" w:eastAsia="仿宋" w:cs="仿宋"/>
                <w:color w:val="000000"/>
                <w:sz w:val="24"/>
                <w:szCs w:val="24"/>
              </w:rPr>
            </w:pP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食品药品抽检科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highlight w:val="none"/>
              </w:rPr>
              <w:t>坚持问题导向，科学</w:t>
            </w:r>
            <w:r>
              <w:rPr>
                <w:rFonts w:hint="eastAsia" w:ascii="仿宋" w:hAnsi="仿宋" w:eastAsia="仿宋" w:cs="仿宋"/>
                <w:color w:val="000000"/>
                <w:sz w:val="24"/>
                <w:szCs w:val="24"/>
                <w:highlight w:val="none"/>
                <w:lang w:val="en-US" w:eastAsia="zh-CN"/>
              </w:rPr>
              <w:t>制订</w:t>
            </w:r>
            <w:bookmarkStart w:id="0" w:name="_GoBack"/>
            <w:bookmarkEnd w:id="0"/>
            <w:r>
              <w:rPr>
                <w:rFonts w:hint="eastAsia" w:ascii="仿宋" w:hAnsi="仿宋" w:eastAsia="仿宋" w:cs="仿宋"/>
                <w:color w:val="000000"/>
                <w:sz w:val="24"/>
                <w:szCs w:val="24"/>
                <w:highlight w:val="none"/>
              </w:rPr>
              <w:t>计划，加大食品抽检力度</w:t>
            </w:r>
            <w:r>
              <w:rPr>
                <w:rFonts w:hint="eastAsia" w:ascii="仿宋" w:hAnsi="仿宋" w:eastAsia="仿宋" w:cs="仿宋"/>
                <w:color w:val="000000"/>
                <w:sz w:val="24"/>
                <w:szCs w:val="24"/>
                <w:highlight w:val="none"/>
                <w:lang w:eastAsia="zh-CN"/>
              </w:rPr>
              <w:t>，规范抽检流程</w:t>
            </w:r>
            <w:r>
              <w:rPr>
                <w:rFonts w:hint="eastAsia" w:ascii="仿宋" w:hAnsi="仿宋" w:eastAsia="仿宋" w:cs="仿宋"/>
                <w:color w:val="000000"/>
                <w:sz w:val="24"/>
                <w:szCs w:val="24"/>
                <w:highlight w:val="none"/>
              </w:rPr>
              <w:t>，稳妥发布抽检结果信息。</w:t>
            </w:r>
            <w:r>
              <w:rPr>
                <w:rFonts w:hint="eastAsia" w:ascii="仿宋" w:hAnsi="仿宋" w:eastAsia="仿宋" w:cs="仿宋"/>
                <w:color w:val="000000"/>
                <w:sz w:val="24"/>
                <w:szCs w:val="24"/>
                <w:highlight w:val="none"/>
                <w:lang w:eastAsia="zh-CN"/>
              </w:rPr>
              <w:t>按照</w:t>
            </w:r>
            <w:r>
              <w:rPr>
                <w:rFonts w:hint="eastAsia" w:ascii="仿宋" w:hAnsi="仿宋" w:eastAsia="仿宋" w:cs="仿宋"/>
                <w:color w:val="000000"/>
                <w:sz w:val="24"/>
                <w:szCs w:val="24"/>
                <w:highlight w:val="none"/>
              </w:rPr>
              <w:t>《山西省市场监督管理局食品安全抽检监测备份样品处置规定（试行）》</w:t>
            </w:r>
            <w:r>
              <w:rPr>
                <w:rFonts w:hint="eastAsia" w:ascii="仿宋" w:hAnsi="仿宋" w:eastAsia="仿宋" w:cs="仿宋"/>
                <w:color w:val="000000"/>
                <w:sz w:val="24"/>
                <w:szCs w:val="24"/>
                <w:highlight w:val="none"/>
                <w:lang w:eastAsia="zh-CN"/>
              </w:rPr>
              <w:t>要求</w:t>
            </w:r>
            <w:r>
              <w:rPr>
                <w:rFonts w:hint="eastAsia" w:ascii="仿宋" w:hAnsi="仿宋" w:eastAsia="仿宋" w:cs="仿宋"/>
                <w:color w:val="000000"/>
                <w:sz w:val="24"/>
                <w:szCs w:val="24"/>
                <w:highlight w:val="none"/>
              </w:rPr>
              <w:t>，理顺抽检备份样品处置机制，规范处置流程。对不合格及问题样品，及时督导属地市场监管部门依法开展核查处置。</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highlight w:val="none"/>
              </w:rPr>
              <w:t>规范抽检流程，提高抽检质量，充分发挥监督抽检对食品安全监管的支撑作用。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Merge w:val="continue"/>
            <w:vAlign w:val="center"/>
          </w:tcPr>
          <w:p>
            <w:pPr>
              <w:spacing w:line="440" w:lineRule="exact"/>
              <w:jc w:val="center"/>
              <w:rPr>
                <w:rFonts w:ascii="仿宋" w:hAnsi="仿宋" w:eastAsia="仿宋" w:cs="仿宋"/>
                <w:color w:val="auto"/>
                <w:sz w:val="24"/>
                <w:szCs w:val="24"/>
              </w:rPr>
            </w:pPr>
          </w:p>
        </w:tc>
        <w:tc>
          <w:tcPr>
            <w:tcW w:w="1742" w:type="dxa"/>
            <w:vMerge w:val="continue"/>
            <w:vAlign w:val="center"/>
          </w:tcPr>
          <w:p>
            <w:pPr>
              <w:spacing w:line="320" w:lineRule="exact"/>
              <w:jc w:val="center"/>
              <w:rPr>
                <w:rFonts w:ascii="仿宋" w:hAnsi="仿宋" w:eastAsia="仿宋" w:cs="仿宋"/>
                <w:color w:val="000000"/>
                <w:sz w:val="24"/>
                <w:szCs w:val="24"/>
              </w:rPr>
            </w:pP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auto"/>
                <w:sz w:val="24"/>
                <w:szCs w:val="24"/>
              </w:rPr>
              <w:t>餐饮科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以校园食品安全监管为重点，督促餐饮服务提供者落实食品安全主体责任，提升餐饮服务食品安全管理水平。</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持续深入开展校园食品安全守护行动。</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推进持证餐饮服务单位风险分级管理。</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持续推进持证餐饮服务单位风险分级管理。</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保证餐饮环节食品安全。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22</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auto"/>
                <w:sz w:val="24"/>
                <w:szCs w:val="24"/>
              </w:rPr>
              <w:t>探索企业重整期间信用修复机制</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信用监管科</w:t>
            </w:r>
            <w:r>
              <w:rPr>
                <w:rFonts w:hint="eastAsia" w:ascii="仿宋" w:hAnsi="仿宋" w:eastAsia="仿宋" w:cs="仿宋"/>
                <w:color w:val="auto"/>
                <w:sz w:val="24"/>
                <w:szCs w:val="24"/>
                <w:lang w:eastAsia="zh-CN"/>
              </w:rPr>
              <w:t>牵头，各县（区）市场监督管理局、开发区分局配合。</w:t>
            </w:r>
          </w:p>
        </w:tc>
        <w:tc>
          <w:tcPr>
            <w:tcW w:w="510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对于符合条件的</w:t>
            </w:r>
            <w:r>
              <w:rPr>
                <w:rFonts w:hint="eastAsia" w:ascii="仿宋" w:hAnsi="仿宋" w:eastAsia="仿宋" w:cs="仿宋"/>
                <w:color w:val="auto"/>
                <w:sz w:val="24"/>
                <w:szCs w:val="24"/>
                <w:lang w:eastAsia="zh-CN"/>
              </w:rPr>
              <w:t>失信</w:t>
            </w:r>
            <w:r>
              <w:rPr>
                <w:rFonts w:hint="eastAsia" w:ascii="仿宋" w:hAnsi="仿宋" w:eastAsia="仿宋" w:cs="仿宋"/>
                <w:color w:val="auto"/>
                <w:sz w:val="24"/>
                <w:szCs w:val="24"/>
              </w:rPr>
              <w:t>企业依法依规</w:t>
            </w:r>
            <w:r>
              <w:rPr>
                <w:rFonts w:hint="eastAsia" w:ascii="仿宋" w:hAnsi="仿宋" w:eastAsia="仿宋" w:cs="仿宋"/>
                <w:color w:val="auto"/>
                <w:sz w:val="24"/>
                <w:szCs w:val="24"/>
                <w:lang w:eastAsia="zh-CN"/>
              </w:rPr>
              <w:t>依职责</w:t>
            </w:r>
            <w:r>
              <w:rPr>
                <w:rFonts w:hint="eastAsia" w:ascii="仿宋" w:hAnsi="仿宋" w:eastAsia="仿宋" w:cs="仿宋"/>
                <w:color w:val="auto"/>
                <w:sz w:val="24"/>
                <w:szCs w:val="24"/>
              </w:rPr>
              <w:t>开展信用修复，及时解除相关管理措施。</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支持符合条件的破产重整企业信用修复。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3</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探索实行惩罚性赔偿和内部举报人制度</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执法监督科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消保科</w:t>
            </w:r>
          </w:p>
        </w:tc>
        <w:tc>
          <w:tcPr>
            <w:tcW w:w="5101" w:type="dxa"/>
          </w:tcPr>
          <w:p>
            <w:pPr>
              <w:spacing w:before="264" w:line="34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积极配合人民法院等部门推进惩罚性赔偿和内部举报人制度的落实</w:t>
            </w:r>
            <w:r>
              <w:rPr>
                <w:rFonts w:hint="eastAsia" w:ascii="仿宋" w:hAnsi="仿宋" w:eastAsia="仿宋" w:cs="仿宋"/>
                <w:color w:val="000000"/>
                <w:sz w:val="24"/>
                <w:szCs w:val="24"/>
                <w:lang w:eastAsia="zh-CN"/>
              </w:rPr>
              <w:t>。</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left"/>
              <w:rPr>
                <w:rFonts w:ascii="仿宋" w:hAnsi="仿宋" w:eastAsia="仿宋" w:cs="仿宋"/>
                <w:color w:val="000000"/>
                <w:sz w:val="24"/>
                <w:szCs w:val="24"/>
              </w:rPr>
            </w:pPr>
            <w:r>
              <w:rPr>
                <w:rFonts w:hint="eastAsia" w:ascii="仿宋" w:hAnsi="仿宋" w:eastAsia="仿宋" w:cs="仿宋"/>
                <w:color w:val="000000"/>
                <w:sz w:val="24"/>
                <w:szCs w:val="24"/>
              </w:rPr>
              <w:t>市场监管领域现代化治理进一步提升，消费者合法权益得到有效维护。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0"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4</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优化网络商品抽检机制</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质量监管科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加大对电子商务经营者销售的本行政区域内的生产者生产的产品和本行政区域内的电子商务经营者销售的产品的抽样力度，重点围绕消费者投诉较多、涉及人身财产安全，且危害较大、风险程度较高以及危害程度呈上升趋势的商品开展网络抽检，定期公示抽检结果，并将属地平台中非本地商户抽检结果推送至商户所在地市场监管部门。</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我</w:t>
            </w:r>
            <w:r>
              <w:rPr>
                <w:rFonts w:hint="eastAsia" w:ascii="仿宋" w:hAnsi="仿宋" w:eastAsia="仿宋" w:cs="仿宋"/>
                <w:color w:val="000000"/>
                <w:sz w:val="24"/>
                <w:szCs w:val="24"/>
                <w:lang w:eastAsia="zh-CN"/>
              </w:rPr>
              <w:t>市</w:t>
            </w:r>
            <w:r>
              <w:rPr>
                <w:rFonts w:hint="eastAsia" w:ascii="仿宋" w:hAnsi="仿宋" w:eastAsia="仿宋" w:cs="仿宋"/>
                <w:color w:val="000000"/>
                <w:sz w:val="24"/>
                <w:szCs w:val="24"/>
              </w:rPr>
              <w:t>境内网络平台销售商品质量水平大幅提升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eastAsia" w:ascii="仿宋" w:hAnsi="仿宋" w:eastAsia="仿宋" w:cs="仿宋"/>
                <w:color w:val="auto"/>
                <w:sz w:val="24"/>
                <w:szCs w:val="24"/>
                <w:lang w:val="en-US" w:eastAsia="zh-CN"/>
              </w:rPr>
            </w:pP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5</w:t>
            </w:r>
          </w:p>
        </w:tc>
        <w:tc>
          <w:tcPr>
            <w:tcW w:w="1742" w:type="dxa"/>
            <w:vAlign w:val="center"/>
          </w:tcPr>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打造政策全生命周期服务链</w:t>
            </w:r>
          </w:p>
        </w:tc>
        <w:tc>
          <w:tcPr>
            <w:tcW w:w="1425" w:type="dxa"/>
            <w:vAlign w:val="center"/>
          </w:tcPr>
          <w:p>
            <w:pPr>
              <w:spacing w:line="45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市场主体科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sz w:val="24"/>
                <w:szCs w:val="24"/>
              </w:rPr>
              <w:t>按照省市场监管局调查研究和评估考核机制，持续推进涉市场主体政策制定事前、事中、事后听取市场主体诉求和建议、意见，提升市场主体满意度和获得感。</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提升市场主体满意度和获得感。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742" w:type="dxa"/>
            <w:vAlign w:val="center"/>
          </w:tcPr>
          <w:p>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打造企业全生命</w:t>
            </w:r>
          </w:p>
          <w:p>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周期服务链</w:t>
            </w:r>
          </w:p>
        </w:tc>
        <w:tc>
          <w:tcPr>
            <w:tcW w:w="1425" w:type="dxa"/>
            <w:vAlign w:val="center"/>
          </w:tcPr>
          <w:p>
            <w:pPr>
              <w:spacing w:line="45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知识产权保护发展科</w:t>
            </w:r>
          </w:p>
        </w:tc>
        <w:tc>
          <w:tcPr>
            <w:tcW w:w="5101" w:type="dxa"/>
          </w:tcPr>
          <w:p>
            <w:pPr>
              <w:spacing w:before="264" w:line="3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制定我</w:t>
            </w:r>
            <w:r>
              <w:rPr>
                <w:rFonts w:hint="eastAsia" w:ascii="仿宋" w:hAnsi="仿宋" w:eastAsia="仿宋" w:cs="仿宋"/>
                <w:color w:val="000000"/>
                <w:sz w:val="24"/>
                <w:szCs w:val="24"/>
                <w:lang w:eastAsia="zh-CN"/>
              </w:rPr>
              <w:t>市</w:t>
            </w:r>
            <w:r>
              <w:rPr>
                <w:rFonts w:hint="eastAsia" w:ascii="仿宋" w:hAnsi="仿宋" w:eastAsia="仿宋" w:cs="仿宋"/>
                <w:color w:val="000000"/>
                <w:sz w:val="24"/>
                <w:szCs w:val="24"/>
              </w:rPr>
              <w:t>知识产权公共服务事项清单</w:t>
            </w:r>
          </w:p>
        </w:tc>
        <w:tc>
          <w:tcPr>
            <w:tcW w:w="1265" w:type="dxa"/>
            <w:vAlign w:val="center"/>
          </w:tcPr>
          <w:p>
            <w:pPr>
              <w:spacing w:line="320"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完成清单制定工作</w:t>
            </w:r>
          </w:p>
        </w:tc>
        <w:tc>
          <w:tcPr>
            <w:tcW w:w="1313" w:type="dxa"/>
            <w:vAlign w:val="center"/>
          </w:tcPr>
          <w:p>
            <w:pPr>
              <w:spacing w:line="423"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303" w:type="dxa"/>
            <w:vAlign w:val="center"/>
          </w:tcPr>
          <w:p>
            <w:pPr>
              <w:spacing w:line="405"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持续推进</w:t>
            </w:r>
          </w:p>
        </w:tc>
        <w:tc>
          <w:tcPr>
            <w:tcW w:w="1578" w:type="dxa"/>
            <w:vAlign w:val="center"/>
          </w:tcPr>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印发《</w:t>
            </w:r>
            <w:r>
              <w:rPr>
                <w:rFonts w:hint="eastAsia" w:ascii="仿宋" w:hAnsi="仿宋" w:eastAsia="仿宋" w:cs="仿宋"/>
                <w:color w:val="000000"/>
                <w:sz w:val="24"/>
                <w:szCs w:val="24"/>
                <w:lang w:eastAsia="zh-CN"/>
              </w:rPr>
              <w:t>大同市</w:t>
            </w:r>
            <w:r>
              <w:rPr>
                <w:rFonts w:hint="eastAsia" w:ascii="仿宋" w:hAnsi="仿宋" w:eastAsia="仿宋" w:cs="仿宋"/>
                <w:color w:val="000000"/>
                <w:sz w:val="24"/>
                <w:szCs w:val="24"/>
              </w:rPr>
              <w:t>知识产权公共服务事项清单（暂</w:t>
            </w:r>
          </w:p>
          <w:p>
            <w:pPr>
              <w:spacing w:line="340" w:lineRule="exact"/>
              <w:ind w:left="140"/>
              <w:jc w:val="center"/>
              <w:rPr>
                <w:rFonts w:ascii="仿宋" w:hAnsi="仿宋" w:eastAsia="仿宋" w:cs="仿宋"/>
                <w:color w:val="000000"/>
                <w:sz w:val="24"/>
                <w:szCs w:val="24"/>
              </w:rPr>
            </w:pPr>
            <w:r>
              <w:rPr>
                <w:rFonts w:hint="eastAsia" w:ascii="仿宋" w:hAnsi="仿宋" w:eastAsia="仿宋" w:cs="仿宋"/>
                <w:color w:val="000000"/>
                <w:sz w:val="24"/>
                <w:szCs w:val="24"/>
              </w:rPr>
              <w:t>定名）》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1742" w:type="dxa"/>
          </w:tcPr>
          <w:p>
            <w:pPr>
              <w:spacing w:line="340" w:lineRule="exact"/>
              <w:ind w:left="140"/>
              <w:rPr>
                <w:rFonts w:hint="eastAsia" w:ascii="仿宋" w:hAnsi="仿宋" w:eastAsia="仿宋" w:cs="仿宋"/>
                <w:color w:val="000000"/>
                <w:sz w:val="24"/>
                <w:szCs w:val="24"/>
              </w:rPr>
            </w:pPr>
            <w:r>
              <w:rPr>
                <w:rFonts w:hint="eastAsia" w:ascii="仿宋" w:hAnsi="仿宋" w:eastAsia="仿宋" w:cs="仿宋"/>
                <w:color w:val="000000"/>
                <w:sz w:val="24"/>
                <w:szCs w:val="24"/>
              </w:rPr>
              <w:t>制定出台《关于开展清理隐性壁垒规范审批事项优化营商环境专项行动实施方案》</w:t>
            </w:r>
          </w:p>
        </w:tc>
        <w:tc>
          <w:tcPr>
            <w:tcW w:w="1425" w:type="dxa"/>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法规科牵头，办公室、人事科、反垄断和反不正当竞争科、外资科配合。</w:t>
            </w:r>
          </w:p>
        </w:tc>
        <w:tc>
          <w:tcPr>
            <w:tcW w:w="5101" w:type="dxa"/>
            <w:vAlign w:val="center"/>
          </w:tcPr>
          <w:p>
            <w:pPr>
              <w:spacing w:line="320" w:lineRule="exact"/>
              <w:ind w:firstLine="279" w:firstLineChars="0"/>
              <w:rPr>
                <w:rFonts w:hint="eastAsia" w:ascii="仿宋" w:hAnsi="仿宋" w:eastAsia="仿宋" w:cs="仿宋"/>
                <w:color w:val="000000"/>
                <w:sz w:val="24"/>
                <w:szCs w:val="24"/>
              </w:rPr>
            </w:pPr>
            <w:r>
              <w:rPr>
                <w:rFonts w:hint="eastAsia" w:ascii="仿宋_GB2312" w:hAnsi="仿宋_GB2312" w:eastAsia="仿宋_GB2312" w:cs="仿宋_GB2312"/>
                <w:i w:val="0"/>
                <w:iCs w:val="0"/>
                <w:color w:val="auto"/>
                <w:kern w:val="0"/>
                <w:sz w:val="24"/>
                <w:szCs w:val="24"/>
                <w:u w:val="none"/>
                <w:lang w:val="en-US" w:eastAsia="zh-CN" w:bidi="ar"/>
              </w:rPr>
              <w:t>依据方案，依法依规、持续强化对规范性文件开展合法性审查。</w:t>
            </w:r>
          </w:p>
        </w:tc>
        <w:tc>
          <w:tcPr>
            <w:tcW w:w="1265" w:type="dxa"/>
            <w:vAlign w:val="center"/>
          </w:tcPr>
          <w:p>
            <w:pPr>
              <w:spacing w:line="320" w:lineRule="exact"/>
              <w:ind w:left="12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配合落实</w:t>
            </w:r>
          </w:p>
        </w:tc>
        <w:tc>
          <w:tcPr>
            <w:tcW w:w="1313" w:type="dxa"/>
            <w:vAlign w:val="center"/>
          </w:tcPr>
          <w:p>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加强合法性审查</w:t>
            </w:r>
          </w:p>
        </w:tc>
        <w:tc>
          <w:tcPr>
            <w:tcW w:w="1303" w:type="dxa"/>
            <w:vAlign w:val="center"/>
          </w:tcPr>
          <w:p>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持续推进</w:t>
            </w:r>
          </w:p>
        </w:tc>
        <w:tc>
          <w:tcPr>
            <w:tcW w:w="1578" w:type="dxa"/>
            <w:vAlign w:val="center"/>
          </w:tcPr>
          <w:p>
            <w:pPr>
              <w:spacing w:line="32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为优化市场监管领域营商环境提供有力法治保障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696" w:type="dxa"/>
            <w:vAlign w:val="center"/>
          </w:tcPr>
          <w:p>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742" w:type="dxa"/>
            <w:vAlign w:val="center"/>
          </w:tcPr>
          <w:p>
            <w:pPr>
              <w:spacing w:line="340" w:lineRule="exact"/>
              <w:ind w:left="140"/>
              <w:jc w:val="both"/>
              <w:rPr>
                <w:rFonts w:hint="eastAsia" w:ascii="仿宋" w:hAnsi="仿宋" w:eastAsia="仿宋" w:cs="仿宋"/>
                <w:color w:val="000000"/>
                <w:sz w:val="24"/>
                <w:szCs w:val="24"/>
              </w:rPr>
            </w:pPr>
            <w:r>
              <w:rPr>
                <w:rFonts w:hint="eastAsia" w:ascii="仿宋" w:hAnsi="仿宋" w:eastAsia="仿宋" w:cs="仿宋"/>
                <w:color w:val="000000"/>
                <w:sz w:val="24"/>
                <w:szCs w:val="24"/>
              </w:rPr>
              <w:t>全面清除市场准入障碍</w:t>
            </w:r>
          </w:p>
        </w:tc>
        <w:tc>
          <w:tcPr>
            <w:tcW w:w="1425" w:type="dxa"/>
            <w:vAlign w:val="center"/>
          </w:tcPr>
          <w:p>
            <w:pPr>
              <w:spacing w:line="450" w:lineRule="exact"/>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外资企业登记注册科</w:t>
            </w:r>
          </w:p>
        </w:tc>
        <w:tc>
          <w:tcPr>
            <w:tcW w:w="5101" w:type="dxa"/>
            <w:vAlign w:val="center"/>
          </w:tcPr>
          <w:p>
            <w:pPr>
              <w:spacing w:line="320" w:lineRule="exact"/>
              <w:jc w:val="both"/>
              <w:rPr>
                <w:rFonts w:hint="eastAsia" w:ascii="仿宋" w:hAnsi="仿宋" w:eastAsia="仿宋" w:cs="仿宋"/>
                <w:color w:val="auto"/>
                <w:sz w:val="24"/>
                <w:szCs w:val="24"/>
              </w:rPr>
            </w:pPr>
            <w:r>
              <w:rPr>
                <w:rFonts w:hint="eastAsia" w:ascii="仿宋" w:hAnsi="仿宋" w:eastAsia="仿宋" w:cs="仿宋"/>
                <w:color w:val="auto"/>
                <w:sz w:val="22"/>
                <w:szCs w:val="22"/>
                <w:lang w:val="en-US" w:eastAsia="zh-CN"/>
              </w:rPr>
              <w:t>始终坚持依法审批，</w:t>
            </w:r>
            <w:r>
              <w:rPr>
                <w:rFonts w:hint="eastAsia" w:ascii="仿宋_GB2312" w:hAnsi="仿宋_GB2312" w:eastAsia="仿宋_GB2312" w:cs="仿宋_GB2312"/>
                <w:i w:val="0"/>
                <w:iCs w:val="0"/>
                <w:color w:val="auto"/>
                <w:kern w:val="0"/>
                <w:sz w:val="22"/>
                <w:szCs w:val="22"/>
                <w:u w:val="none"/>
                <w:lang w:val="en-US" w:eastAsia="zh-CN" w:bidi="ar"/>
              </w:rPr>
              <w:t>外资企业准入严格落实《中华人民共和国外商投资法》和《外商投资准入特别管理措施（负面清单）》，绝不妄加标准，绝不私设门槛，</w:t>
            </w:r>
            <w:r>
              <w:rPr>
                <w:rFonts w:hint="eastAsia" w:ascii="仿宋" w:hAnsi="仿宋" w:eastAsia="仿宋" w:cs="仿宋"/>
                <w:color w:val="auto"/>
                <w:sz w:val="22"/>
                <w:szCs w:val="22"/>
                <w:lang w:val="en-US" w:eastAsia="zh-CN"/>
              </w:rPr>
              <w:t>最大限度拓宽外商投资准入条件，做到国家清单之外再无清单，扫清各类障碍，确保外资规范有序、方便快捷进入我市市场。</w:t>
            </w:r>
          </w:p>
        </w:tc>
        <w:tc>
          <w:tcPr>
            <w:tcW w:w="1265" w:type="dxa"/>
            <w:vAlign w:val="center"/>
          </w:tcPr>
          <w:p>
            <w:pPr>
              <w:spacing w:line="423"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13" w:type="dxa"/>
            <w:vAlign w:val="center"/>
          </w:tcPr>
          <w:p>
            <w:pPr>
              <w:spacing w:line="405"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03" w:type="dxa"/>
            <w:vAlign w:val="center"/>
          </w:tcPr>
          <w:p>
            <w:pPr>
              <w:spacing w:line="405"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578" w:type="dxa"/>
            <w:vAlign w:val="center"/>
          </w:tcPr>
          <w:p>
            <w:pPr>
              <w:spacing w:line="320" w:lineRule="exact"/>
              <w:jc w:val="both"/>
              <w:rPr>
                <w:rFonts w:hint="eastAsia" w:ascii="仿宋" w:hAnsi="仿宋" w:eastAsia="仿宋" w:cs="仿宋"/>
                <w:color w:val="auto"/>
                <w:sz w:val="24"/>
                <w:szCs w:val="24"/>
              </w:rPr>
            </w:pPr>
            <w:r>
              <w:rPr>
                <w:rFonts w:hint="eastAsia" w:ascii="仿宋" w:hAnsi="仿宋" w:eastAsia="仿宋" w:cs="仿宋"/>
                <w:color w:val="auto"/>
                <w:sz w:val="22"/>
                <w:szCs w:val="22"/>
                <w:lang w:val="en-US" w:eastAsia="zh-CN"/>
              </w:rPr>
              <w:t>外资企业与国内企业享有同等权利，外商投资营商环境不断得到优化，市场整体活力进一步增强。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35" w:hRule="atLeast"/>
        </w:trPr>
        <w:tc>
          <w:tcPr>
            <w:tcW w:w="696" w:type="dxa"/>
            <w:vAlign w:val="center"/>
          </w:tcPr>
          <w:p>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w:t>
            </w:r>
          </w:p>
        </w:tc>
        <w:tc>
          <w:tcPr>
            <w:tcW w:w="1742" w:type="dxa"/>
          </w:tcPr>
          <w:p>
            <w:pPr>
              <w:spacing w:before="91" w:line="260" w:lineRule="exact"/>
              <w:jc w:val="center"/>
              <w:rPr>
                <w:rFonts w:hint="eastAsia" w:ascii="仿宋" w:hAnsi="仿宋" w:eastAsia="仿宋" w:cs="仿宋"/>
                <w:color w:val="000000"/>
                <w:sz w:val="28"/>
                <w:szCs w:val="28"/>
              </w:rPr>
            </w:pPr>
            <w:r>
              <w:rPr>
                <w:rFonts w:hint="eastAsia" w:ascii="仿宋" w:hAnsi="仿宋" w:eastAsia="仿宋" w:cs="仿宋"/>
                <w:color w:val="000000"/>
                <w:sz w:val="24"/>
                <w:szCs w:val="24"/>
              </w:rPr>
              <w:t>全面清除不合理限制性条款</w:t>
            </w:r>
          </w:p>
        </w:tc>
        <w:tc>
          <w:tcPr>
            <w:tcW w:w="1425" w:type="dxa"/>
            <w:vAlign w:val="center"/>
          </w:tcPr>
          <w:p>
            <w:pPr>
              <w:spacing w:line="45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4"/>
                <w:szCs w:val="24"/>
                <w:lang w:eastAsia="zh-CN"/>
              </w:rPr>
              <w:t>反垄断和反不正当竞争科</w:t>
            </w:r>
          </w:p>
        </w:tc>
        <w:tc>
          <w:tcPr>
            <w:tcW w:w="5101" w:type="dxa"/>
            <w:vAlign w:val="center"/>
          </w:tcPr>
          <w:p>
            <w:pPr>
              <w:spacing w:line="320" w:lineRule="exact"/>
              <w:rPr>
                <w:rFonts w:hint="eastAsia" w:ascii="仿宋" w:hAnsi="仿宋" w:eastAsia="仿宋" w:cs="仿宋"/>
                <w:color w:val="000000"/>
                <w:sz w:val="28"/>
                <w:szCs w:val="28"/>
              </w:rPr>
            </w:pPr>
            <w:r>
              <w:rPr>
                <w:rFonts w:hint="eastAsia" w:ascii="仿宋" w:hAnsi="仿宋" w:eastAsia="仿宋" w:cs="仿宋"/>
                <w:color w:val="000000"/>
                <w:sz w:val="24"/>
                <w:szCs w:val="24"/>
                <w:highlight w:val="none"/>
              </w:rPr>
              <w:t>清除无法定依据擅自设立所有制限制、资本限制、资质限制等不合理限制性条款，造成准入门槛变相提高或“隐形门槛”，影响企业公平参与市场竞争的权利</w:t>
            </w:r>
          </w:p>
        </w:tc>
        <w:tc>
          <w:tcPr>
            <w:tcW w:w="1265" w:type="dxa"/>
            <w:vAlign w:val="center"/>
          </w:tcPr>
          <w:p>
            <w:pPr>
              <w:spacing w:line="320" w:lineRule="exact"/>
              <w:ind w:left="12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持续推进</w:t>
            </w:r>
          </w:p>
        </w:tc>
        <w:tc>
          <w:tcPr>
            <w:tcW w:w="1313" w:type="dxa"/>
            <w:vAlign w:val="center"/>
          </w:tcPr>
          <w:p>
            <w:pPr>
              <w:spacing w:line="320" w:lineRule="exact"/>
              <w:ind w:left="14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持续推进</w:t>
            </w:r>
          </w:p>
        </w:tc>
        <w:tc>
          <w:tcPr>
            <w:tcW w:w="1303" w:type="dxa"/>
            <w:vAlign w:val="center"/>
          </w:tcPr>
          <w:p>
            <w:pPr>
              <w:spacing w:line="320" w:lineRule="exact"/>
              <w:ind w:left="14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持续推进</w:t>
            </w:r>
          </w:p>
        </w:tc>
        <w:tc>
          <w:tcPr>
            <w:tcW w:w="1578" w:type="dxa"/>
          </w:tcPr>
          <w:p>
            <w:pPr>
              <w:spacing w:before="299" w:line="320" w:lineRule="exact"/>
              <w:jc w:val="center"/>
              <w:rPr>
                <w:rFonts w:ascii="仿宋" w:hAnsi="仿宋" w:eastAsia="仿宋" w:cs="仿宋"/>
                <w:sz w:val="24"/>
                <w:szCs w:val="24"/>
              </w:rPr>
            </w:pPr>
            <w:r>
              <w:rPr>
                <w:rFonts w:hint="eastAsia" w:ascii="仿宋" w:hAnsi="仿宋" w:eastAsia="仿宋" w:cs="仿宋"/>
                <w:color w:val="000000"/>
                <w:sz w:val="24"/>
                <w:szCs w:val="24"/>
              </w:rPr>
              <w:t>规范政府行为，防止出台排除、限制竞争的政</w:t>
            </w:r>
          </w:p>
          <w:p>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4"/>
                <w:szCs w:val="24"/>
              </w:rPr>
              <w:t>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0" w:hRule="atLeast"/>
        </w:trPr>
        <w:tc>
          <w:tcPr>
            <w:tcW w:w="696" w:type="dxa"/>
            <w:vAlign w:val="center"/>
          </w:tcPr>
          <w:p>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w:t>
            </w:r>
          </w:p>
        </w:tc>
        <w:tc>
          <w:tcPr>
            <w:tcW w:w="1742" w:type="dxa"/>
            <w:vAlign w:val="center"/>
          </w:tcPr>
          <w:p>
            <w:pPr>
              <w:spacing w:line="340" w:lineRule="exact"/>
              <w:ind w:left="140"/>
              <w:jc w:val="center"/>
              <w:rPr>
                <w:rFonts w:hint="eastAsia" w:ascii="仿宋" w:hAnsi="仿宋" w:eastAsia="仿宋" w:cs="仿宋"/>
                <w:color w:val="000000"/>
                <w:sz w:val="28"/>
                <w:szCs w:val="28"/>
              </w:rPr>
            </w:pPr>
            <w:r>
              <w:rPr>
                <w:rFonts w:hint="eastAsia" w:ascii="仿宋" w:hAnsi="仿宋" w:eastAsia="仿宋" w:cs="仿宋"/>
                <w:color w:val="000000"/>
                <w:sz w:val="24"/>
                <w:szCs w:val="24"/>
              </w:rPr>
              <w:t>全面清理不合理证明</w:t>
            </w:r>
          </w:p>
        </w:tc>
        <w:tc>
          <w:tcPr>
            <w:tcW w:w="1425" w:type="dxa"/>
            <w:vAlign w:val="center"/>
          </w:tcPr>
          <w:p>
            <w:pPr>
              <w:spacing w:line="45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4"/>
                <w:szCs w:val="24"/>
                <w:lang w:eastAsia="zh-CN"/>
              </w:rPr>
              <w:t>法规科牵头，外资科及各相关科室配合。</w:t>
            </w:r>
          </w:p>
        </w:tc>
        <w:tc>
          <w:tcPr>
            <w:tcW w:w="5101" w:type="dxa"/>
            <w:vAlign w:val="center"/>
          </w:tcPr>
          <w:p>
            <w:pPr>
              <w:spacing w:line="320" w:lineRule="exact"/>
              <w:rPr>
                <w:rFonts w:hint="eastAsia" w:ascii="仿宋" w:hAnsi="仿宋" w:eastAsia="仿宋" w:cs="仿宋"/>
                <w:color w:val="000000"/>
                <w:sz w:val="28"/>
                <w:szCs w:val="28"/>
              </w:rPr>
            </w:pPr>
            <w:r>
              <w:rPr>
                <w:rFonts w:hint="eastAsia" w:ascii="仿宋_GB2312" w:hAnsi="仿宋_GB2312" w:eastAsia="仿宋_GB2312" w:cs="仿宋_GB2312"/>
                <w:i w:val="0"/>
                <w:iCs w:val="0"/>
                <w:color w:val="auto"/>
                <w:kern w:val="0"/>
                <w:sz w:val="24"/>
                <w:szCs w:val="24"/>
                <w:u w:val="none"/>
                <w:lang w:val="en-US" w:eastAsia="zh-CN" w:bidi="ar"/>
              </w:rPr>
              <w:t>加强对没有法律、法规或者国务院决定依据的证明事项开展合法性审查。</w:t>
            </w:r>
          </w:p>
        </w:tc>
        <w:tc>
          <w:tcPr>
            <w:tcW w:w="1265" w:type="dxa"/>
            <w:vAlign w:val="center"/>
          </w:tcPr>
          <w:p>
            <w:pPr>
              <w:spacing w:line="320" w:lineRule="exact"/>
              <w:ind w:left="12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配合落实</w:t>
            </w:r>
          </w:p>
        </w:tc>
        <w:tc>
          <w:tcPr>
            <w:tcW w:w="1313" w:type="dxa"/>
            <w:vAlign w:val="center"/>
          </w:tcPr>
          <w:p>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加强合法性审查</w:t>
            </w:r>
          </w:p>
        </w:tc>
        <w:tc>
          <w:tcPr>
            <w:tcW w:w="1303" w:type="dxa"/>
            <w:vAlign w:val="center"/>
          </w:tcPr>
          <w:p>
            <w:pPr>
              <w:spacing w:line="320" w:lineRule="exact"/>
              <w:ind w:left="140"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持续推进</w:t>
            </w:r>
          </w:p>
        </w:tc>
        <w:tc>
          <w:tcPr>
            <w:tcW w:w="1578" w:type="dxa"/>
            <w:vAlign w:val="center"/>
          </w:tcPr>
          <w:p>
            <w:pPr>
              <w:spacing w:line="32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为强化便民服务提供有力法治保障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5" w:hRule="atLeast"/>
        </w:trPr>
        <w:tc>
          <w:tcPr>
            <w:tcW w:w="696" w:type="dxa"/>
            <w:vAlign w:val="center"/>
          </w:tcPr>
          <w:p>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w:t>
            </w:r>
          </w:p>
        </w:tc>
        <w:tc>
          <w:tcPr>
            <w:tcW w:w="1742" w:type="dxa"/>
            <w:vAlign w:val="center"/>
          </w:tcPr>
          <w:p>
            <w:pPr>
              <w:spacing w:line="340" w:lineRule="exact"/>
              <w:ind w:left="140"/>
              <w:jc w:val="center"/>
              <w:rPr>
                <w:rFonts w:hint="eastAsia" w:ascii="仿宋" w:hAnsi="仿宋" w:eastAsia="仿宋" w:cs="仿宋"/>
                <w:color w:val="000000"/>
                <w:sz w:val="28"/>
                <w:szCs w:val="28"/>
              </w:rPr>
            </w:pPr>
            <w:r>
              <w:rPr>
                <w:rFonts w:hint="eastAsia" w:ascii="仿宋" w:hAnsi="仿宋" w:eastAsia="仿宋" w:cs="仿宋"/>
                <w:color w:val="000000"/>
                <w:sz w:val="24"/>
                <w:szCs w:val="24"/>
              </w:rPr>
              <w:t>努力提升市场监管水平</w:t>
            </w:r>
          </w:p>
        </w:tc>
        <w:tc>
          <w:tcPr>
            <w:tcW w:w="1425" w:type="dxa"/>
            <w:vAlign w:val="center"/>
          </w:tcPr>
          <w:p>
            <w:pPr>
              <w:spacing w:line="24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1"/>
                <w:szCs w:val="21"/>
                <w:lang w:eastAsia="zh-CN"/>
              </w:rPr>
              <w:t>信用监管科牵头，市局</w:t>
            </w:r>
            <w:r>
              <w:rPr>
                <w:rFonts w:hint="eastAsia" w:ascii="仿宋" w:hAnsi="仿宋" w:eastAsia="仿宋" w:cs="仿宋"/>
                <w:color w:val="auto"/>
                <w:sz w:val="21"/>
                <w:szCs w:val="21"/>
                <w:lang w:val="en-US" w:eastAsia="zh-CN"/>
              </w:rPr>
              <w:t>消保科、双反科、直销科、网监科、广告科、产品质量科、食品生产科、食品流通科、餐饮科、食品药品抽检科、特设科、计量科、认证科、知产发展科、知产促进科、药品流通科、医疗器械科、化妆品科、价监科</w:t>
            </w:r>
            <w:r>
              <w:rPr>
                <w:rFonts w:hint="eastAsia" w:ascii="仿宋" w:hAnsi="仿宋" w:eastAsia="仿宋" w:cs="仿宋"/>
                <w:color w:val="auto"/>
                <w:sz w:val="21"/>
                <w:szCs w:val="21"/>
                <w:lang w:eastAsia="zh-CN"/>
              </w:rPr>
              <w:t>各县（区）市场监督管理局、开发区分局</w:t>
            </w:r>
            <w:r>
              <w:rPr>
                <w:rFonts w:hint="eastAsia" w:ascii="仿宋" w:hAnsi="仿宋" w:eastAsia="仿宋" w:cs="仿宋"/>
                <w:color w:val="auto"/>
                <w:sz w:val="21"/>
                <w:szCs w:val="21"/>
                <w:lang w:val="en-US" w:eastAsia="zh-CN"/>
              </w:rPr>
              <w:t>等</w:t>
            </w:r>
            <w:r>
              <w:rPr>
                <w:rFonts w:hint="eastAsia" w:ascii="仿宋" w:hAnsi="仿宋" w:eastAsia="仿宋" w:cs="仿宋"/>
                <w:color w:val="auto"/>
                <w:sz w:val="21"/>
                <w:szCs w:val="21"/>
                <w:lang w:eastAsia="zh-CN"/>
              </w:rPr>
              <w:t>配合。</w:t>
            </w:r>
          </w:p>
        </w:tc>
        <w:tc>
          <w:tcPr>
            <w:tcW w:w="5101" w:type="dxa"/>
            <w:vAlign w:val="center"/>
          </w:tcPr>
          <w:p>
            <w:pPr>
              <w:tabs>
                <w:tab w:val="left" w:pos="789"/>
              </w:tabs>
              <w:spacing w:line="320" w:lineRule="exact"/>
              <w:rPr>
                <w:rFonts w:hint="eastAsia" w:ascii="仿宋" w:hAnsi="仿宋" w:eastAsia="仿宋" w:cs="仿宋"/>
                <w:color w:val="auto"/>
                <w:sz w:val="28"/>
                <w:szCs w:val="28"/>
                <w:lang w:eastAsia="zh-CN"/>
              </w:rPr>
            </w:pPr>
            <w:r>
              <w:rPr>
                <w:rFonts w:hint="eastAsia" w:ascii="仿宋" w:hAnsi="仿宋" w:eastAsia="仿宋" w:cs="仿宋"/>
                <w:color w:val="auto"/>
                <w:sz w:val="24"/>
                <w:szCs w:val="24"/>
              </w:rPr>
              <w:t>提升市场监管现代化水平，推动全链条、全流程监管，切实提高市场监管综合效能，充分发挥市场监管职能作用</w:t>
            </w:r>
            <w:r>
              <w:rPr>
                <w:rFonts w:hint="eastAsia" w:ascii="仿宋" w:hAnsi="仿宋" w:eastAsia="仿宋" w:cs="仿宋"/>
                <w:color w:val="auto"/>
                <w:sz w:val="24"/>
                <w:szCs w:val="24"/>
                <w:lang w:eastAsia="zh-CN"/>
              </w:rPr>
              <w:t>，加强</w:t>
            </w:r>
            <w:r>
              <w:rPr>
                <w:rFonts w:hint="eastAsia" w:ascii="仿宋" w:hAnsi="仿宋" w:eastAsia="仿宋" w:cs="仿宋"/>
                <w:color w:val="auto"/>
                <w:sz w:val="24"/>
                <w:szCs w:val="24"/>
              </w:rPr>
              <w:t>事中事后监管</w:t>
            </w:r>
            <w:r>
              <w:rPr>
                <w:rFonts w:hint="eastAsia" w:ascii="仿宋" w:hAnsi="仿宋" w:eastAsia="仿宋" w:cs="仿宋"/>
                <w:color w:val="auto"/>
                <w:sz w:val="24"/>
                <w:szCs w:val="24"/>
                <w:lang w:eastAsia="zh-CN"/>
              </w:rPr>
              <w:t>。全面推进“双随机、一公开”监管、信用监管、部门联合监管。</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578" w:type="dxa"/>
            <w:vAlign w:val="center"/>
          </w:tcPr>
          <w:p>
            <w:pPr>
              <w:pStyle w:val="3"/>
              <w:keepNext w:val="0"/>
              <w:keepLines w:val="0"/>
              <w:widowControl/>
              <w:suppressLineNumbers w:val="0"/>
              <w:spacing w:before="0" w:beforeAutospacing="0" w:after="0" w:afterAutospacing="0" w:line="240" w:lineRule="auto"/>
              <w:ind w:left="0" w:firstLine="0"/>
              <w:jc w:val="both"/>
            </w:pPr>
            <w:r>
              <w:rPr>
                <w:rFonts w:hint="eastAsia" w:ascii="仿宋" w:hAnsi="仿宋" w:eastAsia="仿宋" w:cs="仿宋"/>
                <w:color w:val="auto"/>
                <w:sz w:val="24"/>
                <w:szCs w:val="24"/>
              </w:rPr>
              <w:t>切实提高市场监管综合效能，对违法失信者“无处不在”，对诚信守法者“无事不扰”。</w:t>
            </w:r>
          </w:p>
          <w:p>
            <w:pPr>
              <w:spacing w:line="320" w:lineRule="exact"/>
              <w:jc w:val="both"/>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0" w:hRule="atLeast"/>
        </w:trPr>
        <w:tc>
          <w:tcPr>
            <w:tcW w:w="696" w:type="dxa"/>
            <w:vAlign w:val="center"/>
          </w:tcPr>
          <w:p>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w:t>
            </w:r>
          </w:p>
        </w:tc>
        <w:tc>
          <w:tcPr>
            <w:tcW w:w="1742" w:type="dxa"/>
            <w:vAlign w:val="center"/>
          </w:tcPr>
          <w:p>
            <w:pPr>
              <w:spacing w:line="320" w:lineRule="exact"/>
              <w:ind w:left="100" w:leftChars="0"/>
              <w:jc w:val="center"/>
              <w:rPr>
                <w:rFonts w:hint="eastAsia" w:ascii="仿宋" w:hAnsi="仿宋" w:eastAsia="仿宋" w:cs="仿宋"/>
                <w:color w:val="auto"/>
                <w:sz w:val="28"/>
                <w:szCs w:val="28"/>
              </w:rPr>
            </w:pPr>
            <w:r>
              <w:rPr>
                <w:rFonts w:hint="eastAsia" w:ascii="仿宋" w:hAnsi="仿宋" w:eastAsia="仿宋" w:cs="仿宋"/>
                <w:color w:val="auto"/>
                <w:sz w:val="24"/>
                <w:szCs w:val="24"/>
              </w:rPr>
              <w:t>加强社会信用体系建设</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1"/>
                <w:szCs w:val="21"/>
                <w:lang w:eastAsia="zh-CN"/>
              </w:rPr>
              <w:t>信用监管科牵头，市局</w:t>
            </w:r>
            <w:r>
              <w:rPr>
                <w:rFonts w:hint="eastAsia" w:ascii="仿宋" w:hAnsi="仿宋" w:eastAsia="仿宋" w:cs="仿宋"/>
                <w:color w:val="auto"/>
                <w:sz w:val="21"/>
                <w:szCs w:val="21"/>
                <w:lang w:val="en-US" w:eastAsia="zh-CN"/>
              </w:rPr>
              <w:t>消保科、双反科、直销科、网监科、广告科、产品质量科、食品生产科、食品流通科、餐饮科、食品药品抽检科、特设科、计量科、认证科、知产发展科、知产促进科、药品流通科、医疗器械科、化妆品科、价监科、外资科等</w:t>
            </w:r>
            <w:r>
              <w:rPr>
                <w:rFonts w:hint="eastAsia" w:ascii="仿宋" w:hAnsi="仿宋" w:eastAsia="仿宋" w:cs="仿宋"/>
                <w:color w:val="auto"/>
                <w:sz w:val="21"/>
                <w:szCs w:val="21"/>
                <w:lang w:eastAsia="zh-CN"/>
              </w:rPr>
              <w:t>业务科室配合。</w:t>
            </w:r>
          </w:p>
        </w:tc>
        <w:tc>
          <w:tcPr>
            <w:tcW w:w="510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推动在市场监管领域建立信用分级分类监管制度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实现跨</w:t>
            </w:r>
            <w:r>
              <w:rPr>
                <w:rFonts w:hint="eastAsia" w:ascii="仿宋" w:hAnsi="仿宋" w:eastAsia="仿宋" w:cs="仿宋"/>
                <w:color w:val="auto"/>
                <w:sz w:val="24"/>
                <w:szCs w:val="24"/>
                <w:lang w:eastAsia="zh-CN"/>
              </w:rPr>
              <w:t>部门</w:t>
            </w:r>
            <w:r>
              <w:rPr>
                <w:rFonts w:hint="eastAsia" w:ascii="仿宋" w:hAnsi="仿宋" w:eastAsia="仿宋" w:cs="仿宋"/>
                <w:color w:val="auto"/>
                <w:sz w:val="24"/>
                <w:szCs w:val="24"/>
              </w:rPr>
              <w:t>信用信息交换共享和联动奖惩。</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持续推进</w:t>
            </w:r>
          </w:p>
        </w:tc>
        <w:tc>
          <w:tcPr>
            <w:tcW w:w="1578" w:type="dxa"/>
            <w:vAlign w:val="center"/>
          </w:tcPr>
          <w:p>
            <w:pPr>
              <w:pStyle w:val="3"/>
              <w:keepNext w:val="0"/>
              <w:keepLines w:val="0"/>
              <w:widowControl/>
              <w:suppressLineNumbers w:val="0"/>
              <w:spacing w:before="0" w:beforeAutospacing="0" w:after="0" w:afterAutospacing="0" w:line="240" w:lineRule="auto"/>
              <w:ind w:left="0" w:firstLine="0"/>
              <w:jc w:val="both"/>
            </w:pPr>
            <w:r>
              <w:rPr>
                <w:rFonts w:hint="eastAsia" w:ascii="仿宋" w:hAnsi="仿宋" w:eastAsia="仿宋" w:cs="仿宋"/>
                <w:color w:val="auto"/>
                <w:sz w:val="24"/>
                <w:szCs w:val="24"/>
              </w:rPr>
              <w:t>通过有效监管、让“守信者一路畅通，失信者寸步难行。”</w:t>
            </w:r>
          </w:p>
          <w:p>
            <w:pPr>
              <w:spacing w:line="320" w:lineRule="exact"/>
              <w:jc w:val="both"/>
              <w:rPr>
                <w:rFonts w:hint="eastAsia" w:ascii="仿宋" w:hAnsi="仿宋" w:eastAsia="仿宋" w:cs="仿宋"/>
                <w:color w:val="000000"/>
                <w:sz w:val="28"/>
                <w:szCs w:val="28"/>
              </w:rPr>
            </w:pPr>
          </w:p>
        </w:tc>
      </w:tr>
    </w:tbl>
    <w:p/>
    <w:sectPr>
      <w:footerReference r:id="rId3" w:type="default"/>
      <w:pgSz w:w="16838" w:h="11900" w:orient="landscape"/>
      <w:pgMar w:top="1440" w:right="1066" w:bottom="1440" w:left="1293" w:header="0" w:footer="10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center"/>
    </w:pPr>
    <w:r>
      <w:rPr>
        <w:sz w:val="26"/>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ViZmVmNGRkYzZmNWEzYmNlZmY2ZGY2NWQ0N2E4MWYifQ=="/>
  </w:docVars>
  <w:rsids>
    <w:rsidRoot w:val="0056405E"/>
    <w:rsid w:val="000871BC"/>
    <w:rsid w:val="00093402"/>
    <w:rsid w:val="001A0188"/>
    <w:rsid w:val="003D1733"/>
    <w:rsid w:val="004A57A4"/>
    <w:rsid w:val="005516F7"/>
    <w:rsid w:val="0056405E"/>
    <w:rsid w:val="00810103"/>
    <w:rsid w:val="00915CC8"/>
    <w:rsid w:val="009A7135"/>
    <w:rsid w:val="00A01A5D"/>
    <w:rsid w:val="00A42CE5"/>
    <w:rsid w:val="00B92F3D"/>
    <w:rsid w:val="00C01B96"/>
    <w:rsid w:val="00DC2662"/>
    <w:rsid w:val="026F61BA"/>
    <w:rsid w:val="064542A1"/>
    <w:rsid w:val="119D79AF"/>
    <w:rsid w:val="140B48F6"/>
    <w:rsid w:val="1AEB6C0D"/>
    <w:rsid w:val="1D63299D"/>
    <w:rsid w:val="20ED134C"/>
    <w:rsid w:val="24046B9F"/>
    <w:rsid w:val="252C27AA"/>
    <w:rsid w:val="263477B3"/>
    <w:rsid w:val="26AF2FC3"/>
    <w:rsid w:val="27DB2DCF"/>
    <w:rsid w:val="286363AA"/>
    <w:rsid w:val="292F0CE9"/>
    <w:rsid w:val="2AA2235B"/>
    <w:rsid w:val="2B7DCB47"/>
    <w:rsid w:val="2D2A4CFD"/>
    <w:rsid w:val="2D722301"/>
    <w:rsid w:val="2DBF0C3B"/>
    <w:rsid w:val="2E0F565E"/>
    <w:rsid w:val="302F87E1"/>
    <w:rsid w:val="38841863"/>
    <w:rsid w:val="3CD7E362"/>
    <w:rsid w:val="3D7309E6"/>
    <w:rsid w:val="3F7DAF93"/>
    <w:rsid w:val="3FDA409F"/>
    <w:rsid w:val="42A93687"/>
    <w:rsid w:val="44D85BF2"/>
    <w:rsid w:val="46E11EEB"/>
    <w:rsid w:val="47D47AB6"/>
    <w:rsid w:val="49AD7704"/>
    <w:rsid w:val="4E9B0108"/>
    <w:rsid w:val="4EB766A3"/>
    <w:rsid w:val="4FCA3D65"/>
    <w:rsid w:val="501C226D"/>
    <w:rsid w:val="55291986"/>
    <w:rsid w:val="56FF2E19"/>
    <w:rsid w:val="5AA04215"/>
    <w:rsid w:val="5FBB24DD"/>
    <w:rsid w:val="5FF7511F"/>
    <w:rsid w:val="61910B7B"/>
    <w:rsid w:val="62786BC4"/>
    <w:rsid w:val="67BE62EA"/>
    <w:rsid w:val="68D3417D"/>
    <w:rsid w:val="6BAF72E6"/>
    <w:rsid w:val="6BD355D4"/>
    <w:rsid w:val="6DDE74F9"/>
    <w:rsid w:val="6DFF2766"/>
    <w:rsid w:val="6F7F24AE"/>
    <w:rsid w:val="6FDFE294"/>
    <w:rsid w:val="6FEEFACB"/>
    <w:rsid w:val="71FF302E"/>
    <w:rsid w:val="727D783D"/>
    <w:rsid w:val="73584555"/>
    <w:rsid w:val="75EDB205"/>
    <w:rsid w:val="780D248E"/>
    <w:rsid w:val="79A65396"/>
    <w:rsid w:val="79F1776C"/>
    <w:rsid w:val="7A3B66BC"/>
    <w:rsid w:val="7AFF674B"/>
    <w:rsid w:val="7C82391D"/>
    <w:rsid w:val="7E5CE7D4"/>
    <w:rsid w:val="7EBDD58B"/>
    <w:rsid w:val="7F5FDF75"/>
    <w:rsid w:val="7F7B40E7"/>
    <w:rsid w:val="7F7BDC8A"/>
    <w:rsid w:val="7FBC2E87"/>
    <w:rsid w:val="7FFCF83C"/>
    <w:rsid w:val="A9F7372C"/>
    <w:rsid w:val="AAF205E0"/>
    <w:rsid w:val="ABFF2A74"/>
    <w:rsid w:val="BDDB91B0"/>
    <w:rsid w:val="BFFC9190"/>
    <w:rsid w:val="C7D5BE7C"/>
    <w:rsid w:val="C8FBD4EB"/>
    <w:rsid w:val="D3FF291A"/>
    <w:rsid w:val="DBF71CFA"/>
    <w:rsid w:val="DDFF96FC"/>
    <w:rsid w:val="EF73EE96"/>
    <w:rsid w:val="EF9B1758"/>
    <w:rsid w:val="EF9E59D3"/>
    <w:rsid w:val="F7CF95C5"/>
    <w:rsid w:val="FABEAE91"/>
    <w:rsid w:val="FB1F2709"/>
    <w:rsid w:val="FB386BE8"/>
    <w:rsid w:val="FB57ACD3"/>
    <w:rsid w:val="FF9F7F47"/>
    <w:rsid w:val="FFFFAB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6059</Words>
  <Characters>6098</Characters>
  <Lines>0</Lines>
  <Paragraphs>0</Paragraphs>
  <TotalTime>33</TotalTime>
  <ScaleCrop>false</ScaleCrop>
  <LinksUpToDate>false</LinksUpToDate>
  <CharactersWithSpaces>6098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2023-01-16T01:50:00Z</dcterms:created>
  <dc:creator>openxml-sdk </dc:creator>
  <dc:description>openxml-sdk, CCi Textin Word Converter, JL</dc:description>
  <cp:keywords>CCi</cp:keywords>
  <cp:lastModifiedBy>Administrator</cp:lastModifiedBy>
  <cp:lastPrinted>2023-02-20T10:37:00Z</cp:lastPrinted>
  <dcterms:modified xsi:type="dcterms:W3CDTF">2023-03-21T08:47:04Z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9AC6643F78A04A9999D83AEB6BEB1503</vt:lpwstr>
  </property>
</Properties>
</file>