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4E5023">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19971763">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val="0"/>
          <w:bCs/>
          <w:sz w:val="32"/>
          <w:szCs w:val="32"/>
          <w:lang w:val="en-US" w:eastAsia="zh-CN"/>
        </w:rPr>
      </w:pPr>
      <w:bookmarkStart w:id="0" w:name="_GoBack"/>
      <w:bookmarkEnd w:id="0"/>
      <w:r>
        <w:rPr>
          <w:rFonts w:hint="eastAsia" w:ascii="仿宋" w:hAnsi="仿宋" w:eastAsia="仿宋" w:cs="仿宋"/>
          <w:b/>
          <w:bCs w:val="0"/>
          <w:sz w:val="32"/>
          <w:szCs w:val="32"/>
          <w:lang w:val="en-US" w:eastAsia="zh-CN"/>
        </w:rPr>
        <w:t>一、</w:t>
      </w:r>
      <w:r>
        <w:rPr>
          <w:rFonts w:hint="default" w:ascii="仿宋" w:hAnsi="仿宋" w:eastAsia="仿宋" w:cs="仿宋"/>
          <w:b/>
          <w:bCs w:val="0"/>
          <w:sz w:val="32"/>
          <w:szCs w:val="32"/>
          <w:lang w:val="en-US" w:eastAsia="zh-CN"/>
        </w:rPr>
        <w:t>恩诺沙星</w:t>
      </w:r>
      <w:r>
        <w:rPr>
          <w:rFonts w:hint="default" w:ascii="仿宋" w:hAnsi="仿宋" w:eastAsia="仿宋" w:cs="仿宋"/>
          <w:b w:val="0"/>
          <w:bCs/>
          <w:sz w:val="32"/>
          <w:szCs w:val="32"/>
          <w:lang w:val="en-US" w:eastAsia="zh-CN"/>
        </w:rPr>
        <w:t xml:space="preserve"> </w:t>
      </w:r>
    </w:p>
    <w:p w14:paraId="6E8D415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恩诺沙星属第三代喹诺酮类药物，是一类人工合成的广谱抗菌药。《食品安全国家标准 食品中兽药最大残留限量》（GB31650-2019）中规定，恩诺沙星在其他水产品中最大残留限量值为100μg/kg。水产品中恩诺沙星残留量超标的原因，可能是在养殖过程中为快速控制疫病，违规加大用药量或不遵守休药期规定，致使上市销售产品中的药物残留量超标。</w:t>
      </w:r>
    </w:p>
    <w:p w14:paraId="130F23E3">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w:t>
      </w:r>
      <w:r>
        <w:rPr>
          <w:rFonts w:hint="default" w:ascii="仿宋" w:hAnsi="仿宋" w:eastAsia="仿宋" w:cs="仿宋"/>
          <w:b/>
          <w:bCs w:val="0"/>
          <w:sz w:val="32"/>
          <w:szCs w:val="32"/>
          <w:lang w:val="en-US" w:eastAsia="zh-CN"/>
        </w:rPr>
        <w:t>吡唑醚菌酯</w:t>
      </w:r>
    </w:p>
    <w:p w14:paraId="4BAB7F3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吡唑醚菌酯为杀菌剂，属于甲氧基氨基甲酸酯类，通过抑制菌株的呼吸作用，进而达到杀菌的效果，可防治</w:t>
      </w:r>
      <w:r>
        <w:rPr>
          <w:rFonts w:hint="eastAsia" w:ascii="仿宋" w:hAnsi="仿宋" w:eastAsia="仿宋" w:cs="仿宋"/>
          <w:b w:val="0"/>
          <w:bCs/>
          <w:sz w:val="32"/>
          <w:szCs w:val="32"/>
          <w:lang w:val="en-US" w:eastAsia="zh-CN"/>
        </w:rPr>
        <w:t>芒果</w:t>
      </w:r>
      <w:r>
        <w:rPr>
          <w:rFonts w:hint="default" w:ascii="仿宋" w:hAnsi="仿宋" w:eastAsia="仿宋" w:cs="仿宋"/>
          <w:b w:val="0"/>
          <w:bCs/>
          <w:sz w:val="32"/>
          <w:szCs w:val="32"/>
          <w:lang w:val="en-US" w:eastAsia="zh-CN"/>
        </w:rPr>
        <w:t>等黑星病、叶斑病等。通过食品摄入一般不会导致吡唑醚菌酯的急性中毒，但长期食用吡唑醚菌酯超标的食品，对人体健康也有一定影响。《食品安全国家标准食品中农药最大残留限量》（GB 2763</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2021）中规定，吡唑醚菌酯在</w:t>
      </w:r>
      <w:r>
        <w:rPr>
          <w:rFonts w:hint="eastAsia" w:ascii="仿宋" w:hAnsi="仿宋" w:eastAsia="仿宋" w:cs="仿宋"/>
          <w:b w:val="0"/>
          <w:bCs/>
          <w:sz w:val="32"/>
          <w:szCs w:val="32"/>
          <w:lang w:val="en-US" w:eastAsia="zh-CN"/>
        </w:rPr>
        <w:t>芒果</w:t>
      </w:r>
      <w:r>
        <w:rPr>
          <w:rFonts w:hint="default" w:ascii="仿宋" w:hAnsi="仿宋" w:eastAsia="仿宋" w:cs="仿宋"/>
          <w:b w:val="0"/>
          <w:bCs/>
          <w:sz w:val="32"/>
          <w:szCs w:val="32"/>
          <w:lang w:val="en-US" w:eastAsia="zh-CN"/>
        </w:rPr>
        <w:t>中的最大残留限量值为 0.0</w:t>
      </w:r>
      <w:r>
        <w:rPr>
          <w:rFonts w:hint="eastAsia" w:ascii="仿宋" w:hAnsi="仿宋" w:eastAsia="仿宋" w:cs="仿宋"/>
          <w:b w:val="0"/>
          <w:bCs/>
          <w:sz w:val="32"/>
          <w:szCs w:val="32"/>
          <w:lang w:val="en-US" w:eastAsia="zh-CN"/>
        </w:rPr>
        <w:t>5</w:t>
      </w:r>
      <w:r>
        <w:rPr>
          <w:rFonts w:hint="default" w:ascii="仿宋" w:hAnsi="仿宋" w:eastAsia="仿宋" w:cs="仿宋"/>
          <w:b w:val="0"/>
          <w:bCs/>
          <w:sz w:val="32"/>
          <w:szCs w:val="32"/>
          <w:lang w:val="en-US" w:eastAsia="zh-CN"/>
        </w:rPr>
        <w:t>mg/kg。</w:t>
      </w:r>
      <w:r>
        <w:rPr>
          <w:rFonts w:hint="eastAsia" w:ascii="仿宋" w:hAnsi="仿宋" w:eastAsia="仿宋" w:cs="仿宋"/>
          <w:b w:val="0"/>
          <w:bCs/>
          <w:sz w:val="32"/>
          <w:szCs w:val="32"/>
          <w:lang w:val="en-US" w:eastAsia="zh-CN"/>
        </w:rPr>
        <w:t>芒果</w:t>
      </w:r>
      <w:r>
        <w:rPr>
          <w:rFonts w:hint="default" w:ascii="仿宋" w:hAnsi="仿宋" w:eastAsia="仿宋" w:cs="仿宋"/>
          <w:b w:val="0"/>
          <w:bCs/>
          <w:sz w:val="32"/>
          <w:szCs w:val="32"/>
          <w:lang w:val="en-US" w:eastAsia="zh-CN"/>
        </w:rPr>
        <w:t>中吡唑醚菌酯残留量超标的原因，可能是为快速控制病情，加大用药量或未遵守采摘间隔期规定，致使上市销售的产品中残留量超标。</w:t>
      </w:r>
    </w:p>
    <w:p w14:paraId="29A3348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w:t>
      </w:r>
      <w:r>
        <w:rPr>
          <w:rFonts w:hint="default" w:ascii="仿宋" w:hAnsi="仿宋" w:eastAsia="仿宋" w:cs="仿宋"/>
          <w:b/>
          <w:bCs w:val="0"/>
          <w:sz w:val="32"/>
          <w:szCs w:val="32"/>
          <w:lang w:val="en-US" w:eastAsia="zh-CN"/>
        </w:rPr>
        <w:t xml:space="preserve">二氧化硫残留量 </w:t>
      </w:r>
    </w:p>
    <w:p w14:paraId="072FB14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 xml:space="preserve">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GB 2760-2024《食品安全国家标准 食品添加剂使用标准》 </w:t>
      </w:r>
      <w:r>
        <w:rPr>
          <w:rFonts w:hint="eastAsia" w:ascii="仿宋" w:hAnsi="仿宋" w:eastAsia="仿宋" w:cs="仿宋"/>
          <w:b w:val="0"/>
          <w:bCs/>
          <w:sz w:val="32"/>
          <w:szCs w:val="32"/>
          <w:lang w:val="en-US" w:eastAsia="zh-CN"/>
        </w:rPr>
        <w:t>中规定，调味品中其他固体香辛料的最大残留量值为不得使用。</w:t>
      </w:r>
      <w:r>
        <w:rPr>
          <w:rFonts w:hint="default" w:ascii="仿宋" w:hAnsi="仿宋" w:eastAsia="仿宋" w:cs="仿宋"/>
          <w:b w:val="0"/>
          <w:bCs/>
          <w:sz w:val="32"/>
          <w:szCs w:val="32"/>
          <w:lang w:val="en-US" w:eastAsia="zh-CN"/>
        </w:rPr>
        <w:t>二氧化硫不合格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728B356B">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四、铝的残留量</w:t>
      </w:r>
    </w:p>
    <w:p w14:paraId="7BB1060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铝作为食品添加剂硫酸铝钾的重要成分，经常会添加在食物中作为膨松剂或稳定剂。《食品安全国家标准食品添加剂使用标准》(GB2760-2014)中规定，油条、月饼中的铝的残留量最大残留量值为100mg/kg。样品中铝残留量超标可能是由于企业超限量添加硫酸铝钾等食品添加剂造成的。铝有一定的慢性毒性，长期摄入铝超标的食品，在体内可造成铝的蓄积，轻者会使食欲减退，引起贫血，重者会表现为神经毒性，使人运动失调、记忆力衰退等。</w:t>
      </w:r>
    </w:p>
    <w:p w14:paraId="1A1FB2F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bCs w:val="0"/>
          <w:sz w:val="32"/>
          <w:szCs w:val="32"/>
          <w:lang w:val="en-US" w:eastAsia="zh-CN"/>
        </w:rPr>
        <w:t>五、</w:t>
      </w:r>
      <w:r>
        <w:rPr>
          <w:rFonts w:hint="default" w:ascii="仿宋" w:hAnsi="仿宋" w:eastAsia="仿宋" w:cs="仿宋"/>
          <w:b/>
          <w:bCs w:val="0"/>
          <w:sz w:val="32"/>
          <w:szCs w:val="32"/>
          <w:lang w:val="en-US" w:eastAsia="zh-CN"/>
        </w:rPr>
        <w:t>噻虫嗪</w:t>
      </w:r>
      <w:r>
        <w:rPr>
          <w:rFonts w:hint="default" w:ascii="仿宋" w:hAnsi="仿宋" w:eastAsia="仿宋" w:cs="仿宋"/>
          <w:b w:val="0"/>
          <w:bCs/>
          <w:sz w:val="32"/>
          <w:szCs w:val="32"/>
          <w:lang w:val="en-US" w:eastAsia="zh-CN"/>
        </w:rPr>
        <w:t xml:space="preserve"> </w:t>
      </w:r>
    </w:p>
    <w:p w14:paraId="4292074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噻虫嗪是烟碱类杀虫剂，具有胃毒、触杀和内吸作用，对蚜虫等有较好防效。少量的残留不会引起人体急性中毒，但长期食用噻虫嗪超标的食品，对人体健康可能有一定影响。《食品安全国家标准 食品中农药最大残留限量》（GB2763</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2021）中规定，噻虫嗪在葱中的最大残留限量值为0.3mg/kg。葱中噻虫嗪残留量超标的原因，可能是为快速控制虫害，加大用药量或未遵守采摘间隔期规定，致使上市销售的产品中残留量超标。</w:t>
      </w:r>
    </w:p>
    <w:p w14:paraId="4960EF50">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六、过氧化值(以脂肪计)</w:t>
      </w:r>
    </w:p>
    <w:p w14:paraId="7396F8A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过氧化值是衡量油脂不饱和脂肪酸被氧化程度的重要指标之一，是油脂酸败的早期指标，主要反映油脂被氧化的程度。一般来说，过氧化值越高，油脂被氧化的程度就越高。食用过氧化值超标的食品一般不会对人体健康造成明显损害，但长期食用严重超标的食品，可能会导致肠胃不适、腹泻等症状</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食品安全国家标准 坚果与籽类食品</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GB 19300-2014</w:t>
      </w:r>
      <w:r>
        <w:rPr>
          <w:rFonts w:hint="eastAsia" w:ascii="仿宋" w:hAnsi="仿宋" w:eastAsia="仿宋" w:cs="仿宋"/>
          <w:b w:val="0"/>
          <w:bCs/>
          <w:sz w:val="32"/>
          <w:szCs w:val="32"/>
          <w:lang w:val="en-US" w:eastAsia="zh-CN"/>
        </w:rPr>
        <w:t>）中规定，过氧化值(以脂肪计)在炒货食品及坚果制品</w:t>
      </w:r>
      <w:r>
        <w:rPr>
          <w:rFonts w:hint="default" w:ascii="仿宋" w:hAnsi="仿宋" w:eastAsia="仿宋" w:cs="仿宋"/>
          <w:b w:val="0"/>
          <w:bCs/>
          <w:sz w:val="32"/>
          <w:szCs w:val="32"/>
          <w:lang w:val="en-US" w:eastAsia="zh-CN"/>
        </w:rPr>
        <w:t>的最大残留限量值为0.80g/100g</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超标原因一方面可能是食品生产企业在原料处理、生产过程、贮存、运输等环节中没有采取必要的隔氧、除氧和添加抗氧化剂等措施延缓油脂氧化，导致过氧化值超标。另一方面，贮存温度过高、氧气含量高或光照等外界环境因素，也会加快油脂的氧化速度，若糕点在储存过程中环境条件控制不当，就容易造成过氧化值超标</w:t>
      </w:r>
      <w:r>
        <w:rPr>
          <w:rFonts w:hint="eastAsia" w:ascii="仿宋" w:hAnsi="仿宋" w:eastAsia="仿宋" w:cs="仿宋"/>
          <w:b w:val="0"/>
          <w:bCs/>
          <w:sz w:val="32"/>
          <w:szCs w:val="32"/>
          <w:lang w:val="en-US" w:eastAsia="zh-CN"/>
        </w:rPr>
        <w:t>。</w:t>
      </w:r>
    </w:p>
    <w:p w14:paraId="64C8A981">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七、阴离子合成洗涤剂</w:t>
      </w:r>
    </w:p>
    <w:p w14:paraId="3BC0C6F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阴离子合成洗涤剂主要成分是十二烷基苯磺酸钠，是我们日常生活中经常用到的洗衣粉、洗洁精、洗衣液、肥皂等洗涤剂的主要成分，是一种低毒物质，因其使用方便、易溶解、稳定性好、成本低等优点被广泛使用。餐(饮）具中检出阴离子合成洗涤剂的原因可能是由于餐(饮)具消毒单位使用的洗涤剂不合格或使用量过大，或未经足够量清水冲洗，最终残留在餐（饮）具中。</w:t>
      </w:r>
    </w:p>
    <w:p w14:paraId="7E874FE1">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八、氯氟氰菊酯和高效氯氟氰菊酯</w:t>
      </w:r>
    </w:p>
    <w:p w14:paraId="6F5B941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 w:hAnsi="仿宋" w:eastAsia="仿宋" w:cs="仿宋"/>
          <w:b w:val="0"/>
          <w:bCs/>
          <w:sz w:val="32"/>
          <w:szCs w:val="32"/>
          <w:lang w:val="en-US" w:eastAsia="zh-CN"/>
        </w:rPr>
        <w:t>氯氟氰菊酯和高效氯氟氰菊酯，是一种拟除虫菊酯类农药，对害虫和螨类具有强烈的触杀和胃毒作用，具有杀虫广谱、高效、速度快、持效期长的特点。少量的农药残留不会引起人体急性中毒，但长期食用氯氟氰菊酯和高效氯氟氰菊酯超标的食品，对人体健康可能有一定影响。</w:t>
      </w:r>
      <w:r>
        <w:rPr>
          <w:rFonts w:hint="eastAsia" w:ascii="仿宋" w:hAnsi="仿宋" w:eastAsia="仿宋" w:cs="仿宋"/>
          <w:b w:val="0"/>
          <w:bCs/>
          <w:sz w:val="32"/>
          <w:szCs w:val="32"/>
          <w:lang w:val="en-US" w:eastAsia="zh-CN"/>
        </w:rPr>
        <w:t>韭菜</w:t>
      </w:r>
      <w:r>
        <w:rPr>
          <w:rFonts w:hint="default" w:ascii="仿宋" w:hAnsi="仿宋" w:eastAsia="仿宋" w:cs="仿宋"/>
          <w:b w:val="0"/>
          <w:bCs/>
          <w:sz w:val="32"/>
          <w:szCs w:val="32"/>
          <w:lang w:val="en-US" w:eastAsia="zh-CN"/>
        </w:rPr>
        <w:t>中氯氟氰菊酯和高效氯氟氰菊酯超标的原因可能是农户超量使用进行病虫害防治</w:t>
      </w:r>
      <w:r>
        <w:rPr>
          <w:rFonts w:hint="default" w:ascii="仿宋_GB2312" w:hAnsi="仿宋_GB2312" w:eastAsia="仿宋_GB2312" w:cs="仿宋_GB2312"/>
          <w:b w:val="0"/>
          <w:bCs/>
          <w:color w:val="auto"/>
          <w:sz w:val="32"/>
          <w:szCs w:val="32"/>
          <w:lang w:val="en-US" w:eastAsia="zh-CN"/>
        </w:rPr>
        <w:t>。</w:t>
      </w:r>
    </w:p>
    <w:p w14:paraId="4551CF00">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p>
    <w:p w14:paraId="0EA7E3D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p>
    <w:p w14:paraId="31BEF26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48819C4"/>
    <w:rsid w:val="050878A3"/>
    <w:rsid w:val="0CE44B8F"/>
    <w:rsid w:val="13692EF5"/>
    <w:rsid w:val="13754A26"/>
    <w:rsid w:val="15D12A9F"/>
    <w:rsid w:val="18E214F8"/>
    <w:rsid w:val="19A25A0C"/>
    <w:rsid w:val="1AFA74C0"/>
    <w:rsid w:val="1CCC22F5"/>
    <w:rsid w:val="1DA01FE1"/>
    <w:rsid w:val="200E6725"/>
    <w:rsid w:val="2619025D"/>
    <w:rsid w:val="27F04F5E"/>
    <w:rsid w:val="32EF34A0"/>
    <w:rsid w:val="3804241F"/>
    <w:rsid w:val="386E2DF5"/>
    <w:rsid w:val="3E7C2468"/>
    <w:rsid w:val="3E953DF8"/>
    <w:rsid w:val="3F2E7589"/>
    <w:rsid w:val="41E7529E"/>
    <w:rsid w:val="432644A9"/>
    <w:rsid w:val="44E13225"/>
    <w:rsid w:val="45E21E3B"/>
    <w:rsid w:val="4700296D"/>
    <w:rsid w:val="47DE6C76"/>
    <w:rsid w:val="492078B6"/>
    <w:rsid w:val="494C3356"/>
    <w:rsid w:val="4BE5547B"/>
    <w:rsid w:val="4CCD443F"/>
    <w:rsid w:val="4DBD1DF1"/>
    <w:rsid w:val="4DD3727F"/>
    <w:rsid w:val="4F4058D1"/>
    <w:rsid w:val="4FA2222B"/>
    <w:rsid w:val="50D71E2D"/>
    <w:rsid w:val="51AE1CAF"/>
    <w:rsid w:val="56FB4775"/>
    <w:rsid w:val="57DF393A"/>
    <w:rsid w:val="596A1057"/>
    <w:rsid w:val="5D900CE9"/>
    <w:rsid w:val="5F056BF5"/>
    <w:rsid w:val="60CC64DC"/>
    <w:rsid w:val="63903AA9"/>
    <w:rsid w:val="64E45089"/>
    <w:rsid w:val="67096815"/>
    <w:rsid w:val="67E94F4F"/>
    <w:rsid w:val="69A97868"/>
    <w:rsid w:val="6C4504B1"/>
    <w:rsid w:val="74D44B04"/>
    <w:rsid w:val="76040FE2"/>
    <w:rsid w:val="78FC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snapToGrid w:val="0"/>
    </w:pPr>
    <w:rPr>
      <w:rFonts w:ascii="Arial" w:hAnsi="Arial" w:cs="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qFormat/>
    <w:uiPriority w:val="0"/>
    <w:pPr>
      <w:adjustRightInd w:val="0"/>
      <w:ind w:left="0" w:leftChars="0" w:firstLine="880" w:firstLineChars="200"/>
    </w:pPr>
    <w:rPr>
      <w:rFonts w:ascii="Calibri" w:hAnsi="Calibri" w:eastAsia="仿宋" w:cs="Times New Roman"/>
      <w:sz w:val="32"/>
    </w:rPr>
  </w:style>
  <w:style w:type="paragraph" w:customStyle="1" w:styleId="10">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2095</Words>
  <Characters>2211</Characters>
  <Lines>0</Lines>
  <Paragraphs>0</Paragraphs>
  <TotalTime>0</TotalTime>
  <ScaleCrop>false</ScaleCrop>
  <LinksUpToDate>false</LinksUpToDate>
  <CharactersWithSpaces>2225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2025-11-06T02:09:21Z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