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3AA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14:paraId="698899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14:paraId="325A9C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仿宋" w:hAnsi="仿宋" w:eastAsia="仿宋" w:cs="仿宋"/>
          <w:sz w:val="32"/>
          <w:szCs w:val="32"/>
          <w:u w:val="none"/>
          <w:lang w:val="en-US" w:eastAsia="zh-CN"/>
        </w:rPr>
        <w:t>同环罚〔2024〕6号</w:t>
      </w:r>
    </w:p>
    <w:p w14:paraId="11993B9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CESI仿宋-GB2312" w:hAnsi="CESI仿宋-GB2312" w:eastAsia="CESI仿宋-GB2312" w:cs="CESI仿宋-GB2312"/>
          <w:sz w:val="32"/>
          <w:szCs w:val="32"/>
          <w:u w:val="none"/>
        </w:rPr>
      </w:pPr>
    </w:p>
    <w:p w14:paraId="2BFE354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当事人名称:晋能控股煤业集团有限公司煤峪口矿</w:t>
      </w:r>
    </w:p>
    <w:p w14:paraId="11B72C3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法定代表人:杨占国</w:t>
      </w:r>
    </w:p>
    <w:p w14:paraId="3BD50C8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统一社会信用代码:91140000810424390Q</w:t>
      </w:r>
    </w:p>
    <w:p w14:paraId="2E54CDC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地址:山西省大同市云冈区煤峪口 </w:t>
      </w:r>
    </w:p>
    <w:p w14:paraId="6FAEA0B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我局于2024年4月30日对你单位进行了调查，发现你单位实施了以下生态环境违法行为：</w:t>
      </w:r>
    </w:p>
    <w:p w14:paraId="08E8BBB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b w:val="0"/>
          <w:kern w:val="2"/>
          <w:sz w:val="28"/>
          <w:szCs w:val="28"/>
          <w:lang w:val="en-US" w:eastAsia="zh-CN" w:bidi="ar-SA"/>
        </w:rPr>
        <w:t>你单位在距工业场地西北1公里处荒沟内，擅自倾倒约4.8万吨煤矸石</w:t>
      </w:r>
      <w:r>
        <w:rPr>
          <w:rFonts w:hint="eastAsia" w:ascii="仿宋" w:hAnsi="仿宋" w:eastAsia="仿宋" w:cs="仿宋"/>
          <w:i w:val="0"/>
          <w:iCs w:val="0"/>
          <w:color w:val="auto"/>
          <w:sz w:val="28"/>
          <w:szCs w:val="28"/>
          <w:u w:val="none"/>
          <w:lang w:val="en-US" w:eastAsia="zh-CN"/>
        </w:rPr>
        <w:t>。</w:t>
      </w:r>
    </w:p>
    <w:p w14:paraId="5FB7113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以上事实，有以下证据为凭：</w:t>
      </w:r>
    </w:p>
    <w:p w14:paraId="13445FB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1、现场检查笔录：2024年4月30日《大同市生态环境局现场检查（勘察）笔录》1份，证明以上违法事实的存在；</w:t>
      </w:r>
    </w:p>
    <w:p w14:paraId="1B26E66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2、询问笔录：2024年4月30日《大同市生态环境局调查询问笔录》1份，证明以上违法事实的存在；</w:t>
      </w:r>
    </w:p>
    <w:p w14:paraId="792D1AC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3、书证：2024年4月30日现场检查时，你单位提供的以下资料：建设项目环境影响报告书（部分）固体废物煤矸石类别栏1份，证明你公司固体废物煤矸石属第1类一般工业固体废物；评估报告1份，证明你单位擅自倾倒煤矸石的量及处置所需的费用；</w:t>
      </w:r>
    </w:p>
    <w:p w14:paraId="3EEDE0D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4、视听资料：2024年4月30日现场照片2份，证明你单位在距工业场地西北1公里处荒沟内擅自倾倒煤矸石......</w:t>
      </w:r>
    </w:p>
    <w:p w14:paraId="4727438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上述行为违反《中华人民共和国固体废物污染环境防治法》第二十条第一款“产生、收集、贮存、运输、利用、处置固体废物的单位和其他生产经营者，应当采取防扬散、防流失、防渗漏或者其他防止污染环境的措施，不得擅自倾倒、堆放、丢弃、遗撒固体废物”的规定。</w:t>
      </w:r>
    </w:p>
    <w:p w14:paraId="1CF72FF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我局于2024年6月18日以《行政处罚事先告知书》（同环罚告字〔2024〕6号）告知你单位陈述申辩权和申请听证的权利，期限内你单位未进行陈述申辩，未申请听证。</w:t>
      </w:r>
    </w:p>
    <w:p w14:paraId="792715E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依据《中华人民共和国固体废物污染环境防治法》第一百零二条第一款第七项和第二款“违反本条例规定，有下列行为之一，由生态环境主管部门责令改正，处以罚款，没收违法所得；情节严重的，报经有批准权的人民政府批准，可以责令停业或者关闭：（七）擅自倾倒、堆放、丢弃、遗撒工业固体废物，或者未采取相应防范措施，造成工业固体废物扬散、流失、渗漏或者其他环境污染的；有前款第七项行为，处所需处置费用一倍以上三倍以下的罚款，所需处置费用不足十万元的，按十万元计算”的规定，参照山西省生态环境厅《生态环境行政处罚自由裁量基准》G-6，</w:t>
      </w:r>
      <w:r>
        <w:rPr>
          <w:rFonts w:hint="eastAsia" w:ascii="仿宋" w:hAnsi="仿宋" w:eastAsia="仿宋" w:cs="仿宋"/>
          <w:color w:val="000000"/>
          <w:sz w:val="28"/>
          <w:szCs w:val="28"/>
          <w:lang w:val="en-US" w:eastAsia="zh-CN"/>
        </w:rPr>
        <w:t>综合考虑你单位的违法事实情节、整改情况等裁量因素，</w:t>
      </w:r>
      <w:r>
        <w:rPr>
          <w:rFonts w:hint="eastAsia" w:ascii="仿宋" w:hAnsi="仿宋" w:eastAsia="仿宋" w:cs="仿宋"/>
          <w:i w:val="0"/>
          <w:iCs w:val="0"/>
          <w:color w:val="auto"/>
          <w:sz w:val="28"/>
          <w:szCs w:val="28"/>
          <w:u w:val="none"/>
          <w:lang w:val="en-US" w:eastAsia="zh-CN"/>
        </w:rPr>
        <w:t>我局决定对你单位作出如下行政处罚：</w:t>
      </w:r>
    </w:p>
    <w:p w14:paraId="57575F1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罚款贰拾万柒仟元。</w:t>
      </w:r>
    </w:p>
    <w:p w14:paraId="059E1CE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fldChar w:fldCharType="begin"/>
      </w:r>
      <w:r>
        <w:rPr>
          <w:rFonts w:hint="eastAsia" w:ascii="仿宋" w:hAnsi="仿宋" w:eastAsia="仿宋" w:cs="仿宋"/>
          <w:i w:val="0"/>
          <w:iCs w:val="0"/>
          <w:color w:val="auto"/>
          <w:sz w:val="28"/>
          <w:szCs w:val="28"/>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 w:hAnsi="仿宋" w:eastAsia="仿宋" w:cs="仿宋"/>
          <w:i w:val="0"/>
          <w:iCs w:val="0"/>
          <w:color w:val="auto"/>
          <w:sz w:val="28"/>
          <w:szCs w:val="28"/>
          <w:u w:val="none"/>
          <w:lang w:val="en-US" w:eastAsia="zh-CN"/>
        </w:rPr>
        <w:fldChar w:fldCharType="separate"/>
      </w:r>
      <w:r>
        <w:rPr>
          <w:rFonts w:hint="eastAsia" w:ascii="仿宋" w:hAnsi="仿宋" w:eastAsia="仿宋" w:cs="仿宋"/>
          <w:i w:val="0"/>
          <w:iCs w:val="0"/>
          <w:color w:val="auto"/>
          <w:sz w:val="28"/>
          <w:szCs w:val="28"/>
          <w:u w:val="none"/>
          <w:lang w:val="en-US" w:eastAsia="zh-CN"/>
        </w:rPr>
        <w:t>限你单位自收到本处罚决定书之日起15日内，到我局开具20位缴款码，持缴款码缴至指定银行。逾</w:t>
      </w:r>
      <w:bookmarkStart w:id="0" w:name="_GoBack"/>
      <w:bookmarkEnd w:id="0"/>
      <w:r>
        <w:rPr>
          <w:rFonts w:hint="eastAsia" w:ascii="仿宋" w:hAnsi="仿宋" w:eastAsia="仿宋" w:cs="仿宋"/>
          <w:i w:val="0"/>
          <w:iCs w:val="0"/>
          <w:color w:val="auto"/>
          <w:sz w:val="28"/>
          <w:szCs w:val="28"/>
          <w:u w:val="none"/>
          <w:lang w:val="en-US" w:eastAsia="zh-CN"/>
        </w:rPr>
        <w:t>期不缴纳罚款的，我局可以根据《中华人民共和国行政处罚法》第七十二条第一款第一项规定每日按罚款数额的百分之三加处罚款。</w:t>
      </w:r>
      <w:r>
        <w:rPr>
          <w:rFonts w:hint="eastAsia" w:ascii="仿宋" w:hAnsi="仿宋" w:eastAsia="仿宋" w:cs="仿宋"/>
          <w:i w:val="0"/>
          <w:iCs w:val="0"/>
          <w:color w:val="auto"/>
          <w:sz w:val="28"/>
          <w:szCs w:val="28"/>
          <w:u w:val="none"/>
          <w:lang w:val="en-US" w:eastAsia="zh-CN"/>
        </w:rPr>
        <w:fldChar w:fldCharType="end"/>
      </w:r>
    </w:p>
    <w:p w14:paraId="7FA2764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14:paraId="21714C2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i w:val="0"/>
          <w:iCs w:val="0"/>
          <w:color w:val="auto"/>
          <w:sz w:val="28"/>
          <w:szCs w:val="28"/>
          <w:u w:val="none"/>
          <w:lang w:val="en-US" w:eastAsia="zh-CN"/>
        </w:rPr>
        <w:t>逾期不申请行政复议,不提起行政诉讼,又不履行本处罚决定的,我局将依法申请大同市平城区人民法院强制执行。</w:t>
      </w:r>
    </w:p>
    <w:p w14:paraId="305389A0">
      <w:pPr>
        <w:keepNext w:val="0"/>
        <w:keepLines w:val="0"/>
        <w:pageBreakBefore w:val="0"/>
        <w:widowControl w:val="0"/>
        <w:kinsoku/>
        <w:wordWrap/>
        <w:overflowPunct/>
        <w:topLinePunct w:val="0"/>
        <w:autoSpaceDE/>
        <w:autoSpaceDN/>
        <w:bidi w:val="0"/>
        <w:adjustRightInd/>
        <w:snapToGrid/>
        <w:spacing w:line="460" w:lineRule="exact"/>
        <w:ind w:firstLine="5040" w:firstLineChars="1800"/>
        <w:textAlignment w:val="auto"/>
        <w:rPr>
          <w:rFonts w:hint="eastAsia" w:ascii="仿宋" w:hAnsi="仿宋" w:eastAsia="仿宋" w:cs="仿宋"/>
          <w:sz w:val="28"/>
          <w:szCs w:val="28"/>
          <w:u w:val="none"/>
          <w:lang w:val="en-US" w:eastAsia="zh-CN"/>
        </w:rPr>
      </w:pPr>
    </w:p>
    <w:p w14:paraId="327070C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u w:val="none"/>
          <w:lang w:val="en-US" w:eastAsia="zh-CN"/>
        </w:rPr>
      </w:pPr>
    </w:p>
    <w:p w14:paraId="046E7BB3">
      <w:pPr>
        <w:keepNext w:val="0"/>
        <w:keepLines w:val="0"/>
        <w:pageBreakBefore w:val="0"/>
        <w:widowControl w:val="0"/>
        <w:kinsoku/>
        <w:wordWrap/>
        <w:overflowPunct/>
        <w:topLinePunct w:val="0"/>
        <w:autoSpaceDE/>
        <w:autoSpaceDN/>
        <w:bidi w:val="0"/>
        <w:adjustRightInd/>
        <w:snapToGrid/>
        <w:spacing w:line="460" w:lineRule="exact"/>
        <w:ind w:firstLine="5040" w:firstLineChars="1800"/>
        <w:textAlignment w:val="auto"/>
        <w:rPr>
          <w:rFonts w:hint="eastAsia" w:ascii="仿宋" w:hAnsi="仿宋" w:eastAsia="仿宋" w:cs="仿宋"/>
          <w:sz w:val="28"/>
          <w:szCs w:val="28"/>
          <w:u w:val="none"/>
          <w:lang w:val="en-US" w:eastAsia="zh-CN"/>
        </w:rPr>
      </w:pPr>
    </w:p>
    <w:p w14:paraId="64F5BF2A">
      <w:pPr>
        <w:keepNext w:val="0"/>
        <w:keepLines w:val="0"/>
        <w:pageBreakBefore w:val="0"/>
        <w:widowControl w:val="0"/>
        <w:kinsoku/>
        <w:wordWrap/>
        <w:overflowPunct/>
        <w:topLinePunct w:val="0"/>
        <w:autoSpaceDE/>
        <w:autoSpaceDN/>
        <w:bidi w:val="0"/>
        <w:adjustRightInd/>
        <w:snapToGrid/>
        <w:spacing w:line="460" w:lineRule="exact"/>
        <w:ind w:firstLine="5320" w:firstLineChars="1900"/>
        <w:jc w:val="right"/>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大同</w:t>
      </w:r>
      <w:r>
        <w:rPr>
          <w:rFonts w:hint="eastAsia" w:ascii="仿宋" w:hAnsi="仿宋" w:eastAsia="仿宋" w:cs="仿宋"/>
          <w:sz w:val="28"/>
          <w:szCs w:val="28"/>
          <w:u w:val="none"/>
          <w:lang w:eastAsia="zh-CN"/>
        </w:rPr>
        <w:t>市</w:t>
      </w:r>
      <w:r>
        <w:rPr>
          <w:rFonts w:hint="eastAsia" w:ascii="仿宋" w:hAnsi="仿宋" w:eastAsia="仿宋" w:cs="仿宋"/>
          <w:sz w:val="28"/>
          <w:szCs w:val="28"/>
          <w:u w:val="none"/>
        </w:rPr>
        <w:t xml:space="preserve">生态环境局 </w:t>
      </w:r>
    </w:p>
    <w:p w14:paraId="52ADDDEE">
      <w:pPr>
        <w:keepNext w:val="0"/>
        <w:keepLines w:val="0"/>
        <w:pageBreakBefore w:val="0"/>
        <w:widowControl w:val="0"/>
        <w:kinsoku/>
        <w:wordWrap/>
        <w:overflowPunct/>
        <w:topLinePunct w:val="0"/>
        <w:autoSpaceDE/>
        <w:autoSpaceDN/>
        <w:bidi w:val="0"/>
        <w:adjustRightInd/>
        <w:snapToGrid/>
        <w:spacing w:line="460" w:lineRule="exact"/>
        <w:ind w:firstLine="5600" w:firstLineChars="2000"/>
        <w:jc w:val="right"/>
        <w:textAlignment w:val="auto"/>
        <w:rPr>
          <w:rFonts w:hint="eastAsia" w:ascii="仿宋" w:hAnsi="仿宋" w:eastAsia="仿宋" w:cs="仿宋"/>
          <w:sz w:val="28"/>
          <w:szCs w:val="28"/>
          <w:u w:val="none"/>
        </w:rPr>
      </w:pPr>
      <w:r>
        <w:rPr>
          <w:rFonts w:hint="eastAsia" w:ascii="仿宋" w:hAnsi="仿宋" w:eastAsia="仿宋" w:cs="仿宋"/>
          <w:color w:val="000000" w:themeColor="text1"/>
          <w:sz w:val="28"/>
          <w:szCs w:val="28"/>
          <w:u w:val="none"/>
          <w:lang w:val="en-US" w:eastAsia="zh-CN"/>
          <w14:textFill>
            <w14:solidFill>
              <w14:schemeClr w14:val="tx1"/>
            </w14:solidFill>
          </w14:textFill>
        </w:rPr>
        <w:t>2024</w:t>
      </w:r>
      <w:r>
        <w:rPr>
          <w:rFonts w:hint="eastAsia" w:ascii="仿宋" w:hAnsi="仿宋" w:eastAsia="仿宋" w:cs="仿宋"/>
          <w:color w:val="000000" w:themeColor="text1"/>
          <w:sz w:val="28"/>
          <w:szCs w:val="28"/>
          <w:u w:val="none"/>
          <w14:textFill>
            <w14:solidFill>
              <w14:schemeClr w14:val="tx1"/>
            </w14:solidFill>
          </w14:textFill>
        </w:rPr>
        <w:t>年</w:t>
      </w:r>
      <w:r>
        <w:rPr>
          <w:rFonts w:hint="eastAsia" w:ascii="仿宋" w:hAnsi="仿宋" w:eastAsia="仿宋" w:cs="仿宋"/>
          <w:color w:val="000000" w:themeColor="text1"/>
          <w:sz w:val="28"/>
          <w:szCs w:val="28"/>
          <w:u w:val="none"/>
          <w:lang w:val="en-US" w:eastAsia="zh-CN"/>
          <w14:textFill>
            <w14:solidFill>
              <w14:schemeClr w14:val="tx1"/>
            </w14:solidFill>
          </w14:textFill>
        </w:rPr>
        <w:t>7</w:t>
      </w:r>
      <w:r>
        <w:rPr>
          <w:rFonts w:hint="eastAsia" w:ascii="仿宋" w:hAnsi="仿宋" w:eastAsia="仿宋" w:cs="仿宋"/>
          <w:color w:val="000000" w:themeColor="text1"/>
          <w:sz w:val="28"/>
          <w:szCs w:val="28"/>
          <w:u w:val="none"/>
          <w14:textFill>
            <w14:solidFill>
              <w14:schemeClr w14:val="tx1"/>
            </w14:solidFill>
          </w14:textFill>
        </w:rPr>
        <w:t>月</w:t>
      </w:r>
      <w:r>
        <w:rPr>
          <w:rFonts w:hint="eastAsia" w:ascii="仿宋" w:hAnsi="仿宋" w:eastAsia="仿宋" w:cs="仿宋"/>
          <w:color w:val="000000" w:themeColor="text1"/>
          <w:sz w:val="28"/>
          <w:szCs w:val="28"/>
          <w:u w:val="none"/>
          <w:lang w:val="en-US" w:eastAsia="zh-CN"/>
          <w14:textFill>
            <w14:solidFill>
              <w14:schemeClr w14:val="tx1"/>
            </w14:solidFill>
          </w14:textFill>
        </w:rPr>
        <w:t>2</w:t>
      </w:r>
      <w:r>
        <w:rPr>
          <w:rFonts w:hint="eastAsia" w:ascii="仿宋" w:hAnsi="仿宋" w:eastAsia="仿宋" w:cs="仿宋"/>
          <w:color w:val="000000" w:themeColor="text1"/>
          <w:sz w:val="28"/>
          <w:szCs w:val="28"/>
          <w:u w:val="none"/>
          <w14:textFill>
            <w14:solidFill>
              <w14:schemeClr w14:val="tx1"/>
            </w14:solidFill>
          </w14:textFill>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TZhMzVlNDhmZTM2NzExMTQyMjJlZGZhOGQ1YjAifQ=="/>
  </w:docVars>
  <w:rsids>
    <w:rsidRoot w:val="00000000"/>
    <w:rsid w:val="03AC0546"/>
    <w:rsid w:val="07753081"/>
    <w:rsid w:val="08D37125"/>
    <w:rsid w:val="188F4E8E"/>
    <w:rsid w:val="20AA6B16"/>
    <w:rsid w:val="3D343137"/>
    <w:rsid w:val="584872CC"/>
    <w:rsid w:val="64AB46DD"/>
    <w:rsid w:val="6ADA3227"/>
    <w:rsid w:val="6B8D1E07"/>
    <w:rsid w:val="71657F87"/>
    <w:rsid w:val="75322DB8"/>
    <w:rsid w:val="7A672918"/>
    <w:rsid w:val="7C9D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1138</Words>
  <Characters>1201</Characters>
  <Lines>0</Lines>
  <Paragraphs>0</Paragraphs>
  <TotalTime>0</TotalTime>
  <ScaleCrop>false</ScaleCrop>
  <LinksUpToDate>false</LinksUpToDate>
  <CharactersWithSpaces>1203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2024-06-17T07:26:00Z</dcterms:created>
  <dc:creator>Dell</dc:creator>
  <cp:lastModifiedBy>Dell</cp:lastModifiedBy>
  <cp:lastPrinted>2024-06-27T06:41:00Z</cp:lastPrinted>
  <dcterms:modified xsi:type="dcterms:W3CDTF">2024-07-02T08:17:01Z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71024A057BC94B5C8EEF763777D1029C_12</vt:lpwstr>
  </property>
</Properties>
</file>