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54"/>
        <w:gridCol w:w="1305"/>
        <w:gridCol w:w="2925"/>
        <w:gridCol w:w="4125"/>
        <w:gridCol w:w="705"/>
        <w:gridCol w:w="1155"/>
        <w:gridCol w:w="1455"/>
        <w:gridCol w:w="72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0" w:hRule="atLeast"/>
          <w:tblHeader/>
          <w:jc w:val="center"/>
        </w:trPr>
        <w:tc>
          <w:tcPr>
            <w:tcW w:w="14029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bookmarkStart w:id="0" w:name="_GoBack"/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8"/>
                <w:u w:val="none"/>
                <w:lang w:val="en-US" w:eastAsia="zh-CN"/>
              </w:rPr>
              <w:t>大同市商务局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随机抽查事项清单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  <w:tblHeader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抽查事项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检查依据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检查内容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检查方式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适用对象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抽查比例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抽查频次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6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新车销售市场监管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《汽车销售管理办法》第十条、第十一条、第十二条、第十三条、第十四条、第二十七条、第二十八条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是否在全国汽车流通信息管理系统备案，是否每月按时报送汽车销售报表，是否明示价格等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现场检查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本辖区内重点新车销售企业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抽查比例不低于10%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抽查一次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6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二手车交易市场监管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《二手车流通管理办法》第十五条、第三十条、三十一条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是否在全国汽车流通信息管理系统备案并及时报送交易信息，是否在经营场所向买方提供质量保证及售后服务承诺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现场检查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本辖区内二手车交易市场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抽查比例不低于50%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抽查一次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报废机动车回收拆解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活动监管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《报废机动车回收管理办法》第五条、第九条、第十条、第十二条、第十三条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报废车辆和废钢废料是否安全堆放、危险废物是否按要求存储、是否按规定开具《报废汽车回收证明》、是否按要求建立报废汽车回收折解档案等。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现场检查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本辖区内报废机动车回收拆解企业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抽查比例不低于100%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抽查一次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拍卖企业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执行拍卖法等法规情况的检查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《拍卖管理办法》第二十三条、二十四条、第二十五条、第三十二条、第三十三条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拍卖企业经营权和拍卖师情况，拍卖企业公告和展示情况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现场检查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本辖区依法取得从事拍卖业务许可的企业及分支机构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抽查比例不低于20%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抽查一次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对外商投资信息报告的检查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中华人民共和国外商投资法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第三十七条；《外商投资信息报告办法》第二十条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外国投资者、外商投资企业是否存在违反《外商投资信息报告办法》的行为。主要涉及外国投资者或者外商投资企业应当及时报送投资信息，遵循真实、准确、完整原则，不得进行虚假或误导性报告，不得有重大遗漏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实地检查、书面检查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大同市外资企业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抽查比例不低于10%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抽查两次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7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134" w:right="850" w:bottom="1134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E045F"/>
    <w:rsid w:val="7F9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2020-11-09T11:54:00Z</dcterms:created>
  <dc:creator>大大大太阳</dc:creator>
  <cp:lastModifiedBy>大大大太阳</cp:lastModifiedBy>
  <dcterms:modified xsi:type="dcterms:W3CDTF">2020-11-09T12:26:12Z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