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rPr>
        <w:t>大同市中医医院202</w:t>
      </w:r>
      <w:r>
        <w:rPr>
          <w:rFonts w:hint="eastAsia" w:ascii="黑体" w:hAnsi="黑体" w:eastAsia="黑体"/>
          <w:sz w:val="44"/>
          <w:szCs w:val="44"/>
          <w:lang w:val="en-US" w:eastAsia="zh-CN"/>
        </w:rPr>
        <w:t>0</w:t>
      </w:r>
      <w:r>
        <w:rPr>
          <w:rFonts w:hint="eastAsia" w:ascii="黑体" w:hAnsi="黑体" w:eastAsia="黑体"/>
          <w:sz w:val="44"/>
          <w:szCs w:val="44"/>
        </w:rPr>
        <w:t>年度</w:t>
      </w:r>
      <w:r>
        <w:rPr>
          <w:rFonts w:hint="eastAsia" w:ascii="黑体" w:hAnsi="黑体" w:eastAsia="黑体"/>
          <w:sz w:val="44"/>
          <w:szCs w:val="44"/>
          <w:lang w:val="en-US" w:eastAsia="zh-CN"/>
        </w:rPr>
        <w:t>决</w:t>
      </w:r>
      <w:r>
        <w:rPr>
          <w:rFonts w:hint="eastAsia" w:ascii="黑体" w:hAnsi="黑体" w:eastAsia="黑体"/>
          <w:sz w:val="44"/>
          <w:szCs w:val="44"/>
        </w:rPr>
        <w:t>算</w:t>
      </w:r>
      <w:r>
        <w:rPr>
          <w:rFonts w:hint="eastAsia" w:ascii="黑体" w:hAnsi="黑体" w:eastAsia="黑体"/>
          <w:sz w:val="44"/>
          <w:szCs w:val="44"/>
          <w:lang w:eastAsia="zh-CN"/>
        </w:rPr>
        <w:t>公开</w:t>
      </w:r>
    </w:p>
    <w:p>
      <w:pPr>
        <w:pStyle w:val="2"/>
        <w:widowControl/>
        <w:shd w:val="clear" w:color="auto" w:fill="FFFFFF"/>
        <w:spacing w:before="0" w:beforeAutospacing="0" w:after="0" w:afterAutospacing="0" w:line="840" w:lineRule="atLeast"/>
        <w:jc w:val="center"/>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目   录</w:t>
      </w:r>
    </w:p>
    <w:p>
      <w:pPr>
        <w:pStyle w:val="7"/>
        <w:widowControl/>
        <w:spacing w:before="300" w:beforeAutospacing="0" w:after="0" w:afterAutospacing="0" w:line="30" w:lineRule="atLeast"/>
        <w:ind w:firstLine="420"/>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第一部分　单位概况</w:t>
      </w:r>
    </w:p>
    <w:p>
      <w:pPr>
        <w:pStyle w:val="7"/>
        <w:widowControl/>
        <w:spacing w:before="300" w:beforeAutospacing="0" w:after="0" w:afterAutospacing="0" w:line="30" w:lineRule="atLeast"/>
        <w:ind w:firstLine="420"/>
        <w:jc w:val="both"/>
        <w:rPr>
          <w:rFonts w:hint="eastAsia" w:ascii="仿宋" w:hAnsi="仿宋" w:eastAsia="仿宋" w:cs="宋体"/>
          <w:color w:val="000000"/>
          <w:sz w:val="28"/>
          <w:szCs w:val="28"/>
        </w:rPr>
      </w:pPr>
      <w:r>
        <w:rPr>
          <w:rFonts w:hint="eastAsia" w:ascii="仿宋" w:hAnsi="仿宋" w:eastAsia="仿宋" w:cs="宋体"/>
          <w:color w:val="000000"/>
          <w:sz w:val="28"/>
          <w:szCs w:val="28"/>
          <w:shd w:val="clear" w:color="auto" w:fill="FFFFFF"/>
        </w:rPr>
        <w:t>一、单位职责</w:t>
      </w:r>
    </w:p>
    <w:p>
      <w:pPr>
        <w:pStyle w:val="7"/>
        <w:widowControl/>
        <w:spacing w:before="300" w:beforeAutospacing="0" w:after="0" w:afterAutospacing="0" w:line="30" w:lineRule="atLeast"/>
        <w:ind w:firstLine="420"/>
        <w:jc w:val="both"/>
        <w:rPr>
          <w:rFonts w:hint="eastAsia" w:ascii="仿宋" w:hAnsi="仿宋" w:eastAsia="仿宋" w:cs="宋体"/>
          <w:color w:val="000000"/>
          <w:sz w:val="28"/>
          <w:szCs w:val="28"/>
        </w:rPr>
      </w:pPr>
      <w:r>
        <w:rPr>
          <w:rFonts w:hint="eastAsia" w:ascii="仿宋" w:hAnsi="仿宋" w:eastAsia="仿宋" w:cs="宋体"/>
          <w:color w:val="000000"/>
          <w:sz w:val="28"/>
          <w:szCs w:val="28"/>
          <w:shd w:val="clear" w:color="auto" w:fill="FFFFFF"/>
        </w:rPr>
        <w:t>二、机构设置情况</w:t>
      </w:r>
    </w:p>
    <w:p>
      <w:pPr>
        <w:pStyle w:val="7"/>
        <w:widowControl/>
        <w:spacing w:before="300" w:beforeAutospacing="0" w:after="0" w:afterAutospacing="0" w:line="30" w:lineRule="atLeast"/>
        <w:ind w:firstLine="420"/>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第二部分　2020年度单位公开决算表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收入支出决算</w:t>
      </w:r>
      <w:r>
        <w:rPr>
          <w:rFonts w:hint="eastAsia" w:ascii="仿宋" w:hAnsi="仿宋" w:eastAsia="仿宋" w:cs="宋体"/>
          <w:color w:val="000000"/>
          <w:sz w:val="28"/>
          <w:szCs w:val="28"/>
          <w:shd w:val="clear" w:color="auto" w:fill="FFFFFF"/>
          <w:lang w:eastAsia="zh-CN"/>
        </w:rPr>
        <w:t>总</w:t>
      </w:r>
      <w:r>
        <w:rPr>
          <w:rFonts w:hint="eastAsia" w:ascii="仿宋" w:hAnsi="仿宋" w:eastAsia="仿宋" w:cs="宋体"/>
          <w:color w:val="000000"/>
          <w:sz w:val="28"/>
          <w:szCs w:val="28"/>
          <w:shd w:val="clear" w:color="auto" w:fill="FFFFFF"/>
        </w:rPr>
        <w:t>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收入决算表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支出决算表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财政拨款收入支出决算</w:t>
      </w:r>
      <w:r>
        <w:rPr>
          <w:rFonts w:hint="eastAsia" w:ascii="仿宋" w:hAnsi="仿宋" w:eastAsia="仿宋" w:cs="宋体"/>
          <w:color w:val="000000"/>
          <w:sz w:val="28"/>
          <w:szCs w:val="28"/>
          <w:shd w:val="clear" w:color="auto" w:fill="FFFFFF"/>
          <w:lang w:eastAsia="zh-CN"/>
        </w:rPr>
        <w:t>总</w:t>
      </w:r>
      <w:r>
        <w:rPr>
          <w:rFonts w:hint="eastAsia" w:ascii="仿宋" w:hAnsi="仿宋" w:eastAsia="仿宋" w:cs="宋体"/>
          <w:color w:val="000000"/>
          <w:sz w:val="28"/>
          <w:szCs w:val="28"/>
          <w:shd w:val="clear" w:color="auto" w:fill="FFFFFF"/>
        </w:rPr>
        <w:t>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一般公共预算财政拨款支出决算表（一）</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一般公共预算财政拨款支出决算表（二）</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一般公共预算财政拨款“三公”经费支出决算表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政府性基金预算财政拨款收入支出决算表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lang w:eastAsia="zh-CN"/>
        </w:rPr>
        <w:t>国有资本经营预算财政拨款支出决算表</w:t>
      </w:r>
    </w:p>
    <w:p>
      <w:pPr>
        <w:pStyle w:val="7"/>
        <w:widowControl/>
        <w:numPr>
          <w:ilvl w:val="0"/>
          <w:numId w:val="1"/>
        </w:numPr>
        <w:spacing w:before="300" w:beforeAutospacing="0" w:after="0" w:afterAutospacing="0" w:line="30" w:lineRule="atLeast"/>
        <w:ind w:firstLine="560" w:firstLine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部门决算公开相关信息统计表</w:t>
      </w:r>
    </w:p>
    <w:p>
      <w:pPr>
        <w:pStyle w:val="7"/>
        <w:widowControl/>
        <w:spacing w:before="300" w:beforeAutospacing="0" w:after="0" w:afterAutospacing="0" w:line="30" w:lineRule="atLeast"/>
        <w:ind w:firstLine="420"/>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第三部分2020年度单位决算情况说明</w:t>
      </w:r>
    </w:p>
    <w:p>
      <w:pPr>
        <w:pStyle w:val="7"/>
        <w:widowControl/>
        <w:numPr>
          <w:ilvl w:val="0"/>
          <w:numId w:val="2"/>
        </w:numPr>
        <w:spacing w:before="300" w:beforeAutospacing="0" w:after="0" w:afterAutospacing="0" w:line="30" w:lineRule="atLeast"/>
        <w:ind w:left="420" w:leftChars="200"/>
        <w:jc w:val="both"/>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收入决算情况说明</w:t>
      </w:r>
    </w:p>
    <w:p>
      <w:pPr>
        <w:pStyle w:val="7"/>
        <w:widowControl/>
        <w:numPr>
          <w:ilvl w:val="0"/>
          <w:numId w:val="2"/>
        </w:numPr>
        <w:spacing w:before="300" w:beforeAutospacing="0" w:after="0" w:afterAutospacing="0" w:line="30" w:lineRule="atLeast"/>
        <w:ind w:left="420" w:leftChars="200"/>
        <w:jc w:val="both"/>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支出决算情况说明</w:t>
      </w:r>
    </w:p>
    <w:p>
      <w:pPr>
        <w:pStyle w:val="7"/>
        <w:widowControl/>
        <w:numPr>
          <w:ilvl w:val="0"/>
          <w:numId w:val="2"/>
        </w:numPr>
        <w:spacing w:before="300" w:beforeAutospacing="0" w:after="0" w:afterAutospacing="0" w:line="30" w:lineRule="atLeast"/>
        <w:ind w:left="420" w:leftChars="200"/>
        <w:jc w:val="both"/>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一般公共预算财政拨款支出决算情况说明</w:t>
      </w:r>
    </w:p>
    <w:p>
      <w:pPr>
        <w:pStyle w:val="7"/>
        <w:widowControl/>
        <w:numPr>
          <w:ilvl w:val="0"/>
          <w:numId w:val="2"/>
        </w:numPr>
        <w:spacing w:before="300" w:beforeAutospacing="0" w:after="0" w:afterAutospacing="0" w:line="30" w:lineRule="atLeast"/>
        <w:ind w:left="420" w:leftChars="200"/>
        <w:jc w:val="both"/>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政府采购情况说明</w:t>
      </w:r>
    </w:p>
    <w:p>
      <w:pPr>
        <w:pStyle w:val="7"/>
        <w:widowControl/>
        <w:numPr>
          <w:ilvl w:val="0"/>
          <w:numId w:val="2"/>
        </w:numPr>
        <w:spacing w:before="300" w:beforeAutospacing="0" w:after="0" w:afterAutospacing="0" w:line="30" w:lineRule="atLeast"/>
        <w:ind w:left="420" w:leftChars="200"/>
        <w:jc w:val="both"/>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“三公”经费情况说明</w:t>
      </w:r>
    </w:p>
    <w:p>
      <w:pPr>
        <w:pStyle w:val="7"/>
        <w:widowControl/>
        <w:numPr>
          <w:ilvl w:val="0"/>
          <w:numId w:val="2"/>
        </w:numPr>
        <w:spacing w:before="300" w:beforeAutospacing="0" w:after="0" w:afterAutospacing="0" w:line="30" w:lineRule="atLeast"/>
        <w:ind w:left="420" w:leftChars="200"/>
        <w:jc w:val="both"/>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国有资产占用情况</w:t>
      </w:r>
    </w:p>
    <w:p>
      <w:pPr>
        <w:pStyle w:val="7"/>
        <w:widowControl/>
        <w:numPr>
          <w:ilvl w:val="0"/>
          <w:numId w:val="2"/>
        </w:numPr>
        <w:spacing w:before="300" w:beforeAutospacing="0" w:after="0" w:afterAutospacing="0" w:line="30" w:lineRule="atLeast"/>
        <w:ind w:left="420" w:leftChars="200"/>
        <w:jc w:val="both"/>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重点绩效评价情况</w:t>
      </w:r>
    </w:p>
    <w:p>
      <w:pPr>
        <w:pStyle w:val="7"/>
        <w:widowControl/>
        <w:spacing w:before="300" w:beforeAutospacing="0" w:after="0" w:afterAutospacing="0" w:line="30" w:lineRule="atLeast"/>
        <w:ind w:firstLine="420"/>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第四部分　专业性名词解释</w:t>
      </w:r>
    </w:p>
    <w:p>
      <w:pPr>
        <w:pStyle w:val="7"/>
        <w:widowControl/>
        <w:spacing w:before="300" w:beforeAutospacing="0" w:after="0" w:afterAutospacing="0" w:line="30" w:lineRule="atLeast"/>
        <w:ind w:firstLine="420"/>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第一部分 大同市中医医院概况</w:t>
      </w:r>
    </w:p>
    <w:p>
      <w:pPr>
        <w:pStyle w:val="3"/>
        <w:adjustRightInd w:val="0"/>
        <w:snapToGrid w:val="0"/>
        <w:spacing w:before="93" w:line="600" w:lineRule="exact"/>
        <w:ind w:firstLine="588" w:firstLineChars="21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一、主要职能</w:t>
      </w:r>
    </w:p>
    <w:p>
      <w:pPr>
        <w:pStyle w:val="3"/>
        <w:adjustRightInd w:val="0"/>
        <w:snapToGrid w:val="0"/>
        <w:spacing w:before="93" w:line="600" w:lineRule="exact"/>
        <w:ind w:firstLine="588" w:firstLineChars="21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zh-CN" w:eastAsia="zh-CN" w:bidi="ar-SA"/>
        </w:rPr>
        <w:t>主要职责和任务：为人民身体健康提供医疗与保健服务，以中医为主，中医、中西医结合并重，充分发挥中医药特色和优势，遵循中医药自身发展规律，运用传统理论和方法，结合现代科学技术手段，发挥中医药在防治疾病、保健、康复中的作用，为群众提供价格合理，质量优良的中医药服务</w:t>
      </w:r>
      <w:r>
        <w:rPr>
          <w:rFonts w:hint="eastAsia" w:ascii="仿宋" w:hAnsi="仿宋" w:eastAsia="仿宋" w:cs="宋体"/>
          <w:color w:val="000000"/>
          <w:kern w:val="0"/>
          <w:sz w:val="28"/>
          <w:szCs w:val="28"/>
          <w:shd w:val="clear" w:color="auto" w:fill="FFFFFF"/>
          <w:lang w:val="en-US" w:eastAsia="zh-CN" w:bidi="ar-SA"/>
        </w:rPr>
        <w:t>。</w:t>
      </w:r>
    </w:p>
    <w:p>
      <w:pPr>
        <w:pStyle w:val="3"/>
        <w:adjustRightInd w:val="0"/>
        <w:snapToGrid w:val="0"/>
        <w:spacing w:before="93" w:line="600" w:lineRule="exact"/>
        <w:ind w:firstLine="588" w:firstLineChars="21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二、机构设置情况</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我院现有在编职工251人，聘用人员215人，返聘人员21人，共有职工487人。卫生技术人员391人，其中高级职称65人，中级职称115人，初级职称211人，卫生技术人员中具有硕士研究生学历的37人。省级名中医2名，市级名中医11名。</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目前大型设备有移动CT、1.5 T核磁、64排螺旋CT、彩超、高清电子肠镜、胃镜、全自动生化分析仪、DR、CR等，价值9000余万元。现主要开设的科室有：急诊科、内科、妇科、儿科、康复科、皮肤科、疼痛科、针灸科等临床科室及放射科、检验科、超声科等医技科室。康复科、皮肤科、肛肠科、针灸科4个省级重点专科。6个省级名老中医传承工作室。</w:t>
      </w:r>
    </w:p>
    <w:p>
      <w:pPr>
        <w:spacing w:line="600" w:lineRule="exact"/>
        <w:ind w:firstLine="600" w:firstLineChars="200"/>
        <w:rPr>
          <w:rFonts w:ascii="仿宋_GB2312" w:hAnsi="宋体" w:eastAsia="仿宋_GB2312" w:cs="Arial"/>
          <w:kern w:val="0"/>
          <w:sz w:val="30"/>
          <w:szCs w:val="30"/>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年度部门决算报表</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一、收入支出决算</w:t>
      </w:r>
      <w:r>
        <w:rPr>
          <w:rFonts w:hint="default" w:ascii="仿宋" w:hAnsi="仿宋" w:eastAsia="仿宋" w:cs="宋体"/>
          <w:color w:val="000000"/>
          <w:kern w:val="0"/>
          <w:sz w:val="28"/>
          <w:szCs w:val="28"/>
          <w:shd w:val="clear" w:color="auto" w:fill="FFFFFF"/>
          <w:lang w:val="en" w:eastAsia="zh-CN" w:bidi="ar-SA"/>
        </w:rPr>
        <w:t>总</w:t>
      </w:r>
      <w:r>
        <w:rPr>
          <w:rFonts w:hint="eastAsia" w:ascii="仿宋" w:hAnsi="仿宋" w:eastAsia="仿宋" w:cs="宋体"/>
          <w:color w:val="000000"/>
          <w:kern w:val="0"/>
          <w:sz w:val="28"/>
          <w:szCs w:val="28"/>
          <w:shd w:val="clear" w:color="auto" w:fill="FFFFFF"/>
          <w:lang w:val="zh-CN" w:eastAsia="zh-CN" w:bidi="ar-SA"/>
        </w:rPr>
        <w:t>表</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二、收入决算表</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三、支出决算表</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四、财政拨款收入支出决算</w:t>
      </w:r>
      <w:r>
        <w:rPr>
          <w:rFonts w:hint="default" w:ascii="仿宋" w:hAnsi="仿宋" w:eastAsia="仿宋" w:cs="宋体"/>
          <w:color w:val="000000"/>
          <w:kern w:val="0"/>
          <w:sz w:val="28"/>
          <w:szCs w:val="28"/>
          <w:shd w:val="clear" w:color="auto" w:fill="FFFFFF"/>
          <w:lang w:val="en" w:eastAsia="zh-CN" w:bidi="ar-SA"/>
        </w:rPr>
        <w:t>总</w:t>
      </w:r>
      <w:r>
        <w:rPr>
          <w:rFonts w:hint="eastAsia" w:ascii="仿宋" w:hAnsi="仿宋" w:eastAsia="仿宋" w:cs="宋体"/>
          <w:color w:val="000000"/>
          <w:kern w:val="0"/>
          <w:sz w:val="28"/>
          <w:szCs w:val="28"/>
          <w:shd w:val="clear" w:color="auto" w:fill="FFFFFF"/>
          <w:lang w:val="zh-CN" w:eastAsia="zh-CN" w:bidi="ar-SA"/>
        </w:rPr>
        <w:t>表</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五、一般公共预算财政拨款支出决算表（一）</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六、一般公共预算财政拨款支出决算表（二）</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七、一般公共预算财政拨款“三公”经费支出决算表</w:t>
      </w:r>
    </w:p>
    <w:p>
      <w:pPr>
        <w:ind w:firstLine="560" w:firstLineChars="200"/>
        <w:rPr>
          <w:rFonts w:hint="eastAsia" w:ascii="仿宋" w:hAnsi="仿宋" w:eastAsia="仿宋" w:cs="宋体"/>
          <w:color w:val="000000"/>
          <w:kern w:val="0"/>
          <w:sz w:val="28"/>
          <w:szCs w:val="28"/>
          <w:shd w:val="clear" w:color="auto" w:fill="FFFFFF"/>
          <w:lang w:val="zh-CN" w:eastAsia="zh-CN" w:bidi="ar-SA"/>
        </w:rPr>
      </w:pPr>
      <w:r>
        <w:rPr>
          <w:rFonts w:hint="eastAsia" w:ascii="仿宋" w:hAnsi="仿宋" w:eastAsia="仿宋" w:cs="宋体"/>
          <w:color w:val="000000"/>
          <w:kern w:val="0"/>
          <w:sz w:val="28"/>
          <w:szCs w:val="28"/>
          <w:shd w:val="clear" w:color="auto" w:fill="FFFFFF"/>
          <w:lang w:val="zh-CN" w:eastAsia="zh-CN" w:bidi="ar-SA"/>
        </w:rPr>
        <w:t>八、政府性基金预算财政拨款收入支出决算表</w:t>
      </w:r>
    </w:p>
    <w:p>
      <w:pPr>
        <w:ind w:firstLine="560" w:firstLineChars="200"/>
        <w:rPr>
          <w:rFonts w:hint="default" w:ascii="仿宋" w:hAnsi="仿宋" w:eastAsia="仿宋" w:cs="宋体"/>
          <w:color w:val="000000"/>
          <w:kern w:val="0"/>
          <w:sz w:val="28"/>
          <w:szCs w:val="28"/>
          <w:shd w:val="clear" w:color="auto" w:fill="FFFFFF"/>
          <w:lang w:val="en" w:eastAsia="zh-CN" w:bidi="ar-SA"/>
        </w:rPr>
      </w:pPr>
      <w:r>
        <w:rPr>
          <w:rFonts w:hint="default" w:ascii="仿宋" w:hAnsi="仿宋" w:eastAsia="仿宋" w:cs="宋体"/>
          <w:color w:val="000000"/>
          <w:kern w:val="0"/>
          <w:sz w:val="28"/>
          <w:szCs w:val="28"/>
          <w:shd w:val="clear" w:color="auto" w:fill="FFFFFF"/>
          <w:lang w:val="en" w:eastAsia="zh-CN" w:bidi="ar-SA"/>
        </w:rPr>
        <w:t>九、国有资本经营预算财政拨款支出决算表</w:t>
      </w:r>
    </w:p>
    <w:p>
      <w:pPr>
        <w:ind w:firstLine="560" w:firstLineChars="200"/>
        <w:rPr>
          <w:rFonts w:hint="eastAsia" w:ascii="黑体" w:hAnsi="黑体" w:eastAsia="黑体"/>
          <w:sz w:val="32"/>
          <w:szCs w:val="32"/>
        </w:rPr>
      </w:pPr>
      <w:r>
        <w:rPr>
          <w:rFonts w:hint="default" w:ascii="仿宋" w:hAnsi="仿宋" w:eastAsia="仿宋" w:cs="宋体"/>
          <w:color w:val="000000"/>
          <w:kern w:val="0"/>
          <w:sz w:val="28"/>
          <w:szCs w:val="28"/>
          <w:shd w:val="clear" w:color="auto" w:fill="FFFFFF"/>
          <w:lang w:val="en" w:eastAsia="zh-CN" w:bidi="ar-SA"/>
        </w:rPr>
        <w:t>十、</w:t>
      </w:r>
      <w:r>
        <w:rPr>
          <w:rFonts w:hint="eastAsia" w:ascii="仿宋" w:hAnsi="仿宋" w:eastAsia="仿宋" w:cs="宋体"/>
          <w:color w:val="000000"/>
          <w:kern w:val="0"/>
          <w:sz w:val="28"/>
          <w:szCs w:val="28"/>
          <w:shd w:val="clear" w:color="auto" w:fill="FFFFFF"/>
          <w:lang w:val="zh-CN" w:eastAsia="zh-CN" w:bidi="ar-SA"/>
        </w:rPr>
        <w:t>部门决算公开相关信息统计表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sz w:val="32"/>
          <w:szCs w:val="32"/>
          <w:lang w:val="en" w:eastAsia="zh-CN"/>
        </w:rPr>
      </w:pPr>
      <w:r>
        <w:rPr>
          <w:rFonts w:hint="eastAsia" w:ascii="黑体" w:hAnsi="黑体" w:eastAsia="黑体"/>
          <w:sz w:val="32"/>
          <w:szCs w:val="32"/>
          <w:lang w:val="en" w:eastAsia="zh-CN"/>
        </w:rPr>
        <w:t>第三部分  202</w:t>
      </w:r>
      <w:r>
        <w:rPr>
          <w:rFonts w:hint="eastAsia" w:ascii="黑体" w:hAnsi="黑体" w:eastAsia="黑体"/>
          <w:sz w:val="32"/>
          <w:szCs w:val="32"/>
          <w:lang w:val="en-US" w:eastAsia="zh-CN"/>
        </w:rPr>
        <w:t>0</w:t>
      </w:r>
      <w:r>
        <w:rPr>
          <w:rFonts w:hint="eastAsia" w:ascii="黑体" w:hAnsi="黑体" w:eastAsia="黑体"/>
          <w:sz w:val="32"/>
          <w:szCs w:val="32"/>
          <w:lang w:val="en" w:eastAsia="zh-CN"/>
        </w:rPr>
        <w:t>年度部门</w:t>
      </w:r>
      <w:r>
        <w:rPr>
          <w:rFonts w:hint="eastAsia" w:ascii="黑体" w:hAnsi="黑体" w:eastAsia="黑体"/>
          <w:sz w:val="32"/>
          <w:szCs w:val="32"/>
          <w:lang w:val="en-US" w:eastAsia="zh-CN"/>
        </w:rPr>
        <w:t>决</w:t>
      </w:r>
      <w:r>
        <w:rPr>
          <w:rFonts w:hint="eastAsia" w:ascii="黑体" w:hAnsi="黑体" w:eastAsia="黑体"/>
          <w:sz w:val="32"/>
          <w:szCs w:val="32"/>
          <w:lang w:val="en" w:eastAsia="zh-CN"/>
        </w:rPr>
        <w:t>算情况说明</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一、收入决算情况说明</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本年收入13066.2万元，较去年减少16.9%，其中:一般财政拨款收入5624.7万元, 较去年增加21.8%；政府性基金预算财政拨款收入2253万元, 较去年减少71.3%；事业收入5124.5万元, 较去年增加58.7%；其他收入64万元, 较去年增加216%。主要原因是：2020年一般</w:t>
      </w:r>
      <w:bookmarkStart w:id="0" w:name="_GoBack"/>
      <w:bookmarkEnd w:id="0"/>
      <w:r>
        <w:rPr>
          <w:rFonts w:hint="eastAsia" w:ascii="仿宋" w:hAnsi="仿宋" w:eastAsia="仿宋" w:cs="仿宋"/>
          <w:color w:val="000000"/>
          <w:kern w:val="0"/>
          <w:sz w:val="28"/>
          <w:szCs w:val="28"/>
          <w:shd w:val="clear" w:color="auto" w:fill="FFFFFF"/>
          <w:lang w:val="en" w:eastAsia="zh-CN" w:bidi="ar-SA"/>
        </w:rPr>
        <w:t>财政拨款增加了疫情防控专用经费，2019年无此项拔款；2020政府性基金财政拨款中减少了新院建设的基建费；事业收入增长主要原因是日常医疗收入的增加。其他收入相比2019年增加了实习费的收入。</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二、支出决算情况说明</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本年支出12079.5万元，较去年减少28.8%，其中:基本支出4510.2万元, 较去年减少28.6%；项目支出7569.3万元，较去年减少28.9%。主要原因：项目支出中与2019年相比相应减少了用于新院基建款的支付。基本支出中人员经费支出和商品服务支出较2019年有所减少。</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三、一般公共预算财政拨款支出决算情况说明</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（一）财政拨款支出决算总体情况</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2020年一般公共预算财政拨款支出5321.6万元，占本年总支出的44%。与2019年相比增加615.9万元。变动的主要原因：2020年因新冠肺炎疫情的发生，政府投入672万元用于疫情防控，2019年无此费用，因此2020年支出数增加。政府性基金预算支出2171.9万元，占本年总支出的18%。与2019年相比减少5685.1万元，变动的主要原因：2019年财政拔付5000万专项经费用于清偿新院建设期间的基建款，2020年无此费用。</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（二）一般公共预算财政拨款支出决算结构情况</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2020年度一般公共预算财政拨款支出5321.6万元，主要用于以下方面：科学技术支出2万元，占0.1%；社会保障和就业支出25.2万元，占0.4%；卫生健康支出4560.3万元，占85.7%；住房保障支出23.7万元，占0.5%；城乡社区支出710.4万元，占13.3%。</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1、科学技术支出年初预算4万元，支出2元，完成预算50%，主要用于皮肤科重点研发项目。</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2、社会保障和就业支出年初预算7.99万元，支出25.2万元，完成预算315%，主要用于离退休人员死亡抚恤金及采暖费的发放。</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3、卫生健康支出年初预算4183万元，支出4560.3万元，完成预算109%，主要用于人员经费、物业运行及日常运行经费的支出。</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4、住房保障支出年初预算22.91万元，支出23.7万元，完成预算103%，主要用于职工住房公积金的发放。</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5、城乡社区支出年初无预算，支出710.4万元，主要用于清欠中小民营企业债务。</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四、政府采购情况说明</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2020年度，部门政府采购预算支出总额514.6万元，其中：政府采购货物支出22.5万元；政府采购服务支出519.1万元。</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五、“三公”经费情况说明</w:t>
      </w:r>
    </w:p>
    <w:p>
      <w:pPr>
        <w:ind w:firstLine="560" w:firstLineChars="200"/>
        <w:rPr>
          <w:rFonts w:hint="eastAsia" w:ascii="仿宋" w:hAnsi="仿宋" w:eastAsia="仿宋" w:cs="仿宋"/>
          <w:color w:val="000000"/>
          <w:kern w:val="0"/>
          <w:sz w:val="28"/>
          <w:szCs w:val="28"/>
          <w:shd w:val="clear" w:color="auto" w:fill="FFFFFF"/>
          <w:lang w:val="en" w:eastAsia="zh-CN" w:bidi="ar-SA"/>
        </w:rPr>
      </w:pPr>
      <w:r>
        <w:rPr>
          <w:rFonts w:hint="eastAsia" w:ascii="仿宋" w:hAnsi="仿宋" w:eastAsia="仿宋" w:cs="仿宋"/>
          <w:color w:val="000000"/>
          <w:kern w:val="0"/>
          <w:sz w:val="28"/>
          <w:szCs w:val="28"/>
          <w:shd w:val="clear" w:color="auto" w:fill="FFFFFF"/>
          <w:lang w:val="en" w:eastAsia="zh-CN" w:bidi="ar-SA"/>
        </w:rPr>
        <w:t>2020年“三公”经费1.6万元，用于公务用车运行维护费，该经费与2019年相同，无增减变化。</w:t>
      </w:r>
    </w:p>
    <w:p>
      <w:pPr>
        <w:numPr>
          <w:ilvl w:val="0"/>
          <w:numId w:val="0"/>
        </w:numPr>
        <w:spacing w:line="360" w:lineRule="auto"/>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六、</w:t>
      </w:r>
      <w:r>
        <w:rPr>
          <w:rFonts w:hint="eastAsia" w:ascii="仿宋" w:hAnsi="仿宋" w:eastAsia="仿宋" w:cs="仿宋"/>
          <w:b w:val="0"/>
          <w:bCs w:val="0"/>
          <w:color w:val="auto"/>
          <w:sz w:val="28"/>
          <w:szCs w:val="28"/>
        </w:rPr>
        <w:t>重点绩效评价情况</w:t>
      </w:r>
    </w:p>
    <w:p>
      <w:pPr>
        <w:numPr>
          <w:ilvl w:val="0"/>
          <w:numId w:val="3"/>
        </w:num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预算绩效管理工作开展情况。</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560" w:firstLineChars="200"/>
        <w:jc w:val="left"/>
        <w:textAlignment w:val="auto"/>
        <w:rPr>
          <w:rFonts w:hint="eastAsia" w:ascii="仿宋" w:hAnsi="仿宋" w:eastAsia="仿宋" w:cs="仿宋"/>
          <w:b/>
          <w:bCs/>
          <w:color w:val="FF0000"/>
          <w:sz w:val="28"/>
          <w:szCs w:val="28"/>
        </w:rPr>
      </w:pPr>
      <w:r>
        <w:rPr>
          <w:rFonts w:hint="eastAsia" w:ascii="仿宋" w:hAnsi="仿宋" w:eastAsia="仿宋" w:cs="仿宋"/>
          <w:kern w:val="2"/>
          <w:sz w:val="28"/>
          <w:szCs w:val="28"/>
        </w:rPr>
        <w:t>202</w:t>
      </w:r>
      <w:r>
        <w:rPr>
          <w:rFonts w:hint="eastAsia" w:ascii="仿宋" w:hAnsi="仿宋" w:eastAsia="仿宋" w:cs="仿宋"/>
          <w:kern w:val="2"/>
          <w:sz w:val="28"/>
          <w:szCs w:val="28"/>
          <w:lang w:val="en-US" w:eastAsia="zh-CN"/>
        </w:rPr>
        <w:t>0</w:t>
      </w:r>
      <w:r>
        <w:rPr>
          <w:rFonts w:hint="eastAsia" w:ascii="仿宋" w:hAnsi="仿宋" w:eastAsia="仿宋" w:cs="仿宋"/>
          <w:kern w:val="2"/>
          <w:sz w:val="28"/>
          <w:szCs w:val="28"/>
        </w:rPr>
        <w:t>年我院实行绩效目标管理的项目有</w:t>
      </w:r>
      <w:r>
        <w:rPr>
          <w:rFonts w:hint="eastAsia" w:ascii="仿宋" w:hAnsi="仿宋" w:eastAsia="仿宋" w:cs="仿宋"/>
          <w:kern w:val="2"/>
          <w:sz w:val="28"/>
          <w:szCs w:val="28"/>
          <w:lang w:val="en-US" w:eastAsia="zh-CN"/>
        </w:rPr>
        <w:t>10</w:t>
      </w:r>
      <w:r>
        <w:rPr>
          <w:rFonts w:hint="eastAsia" w:ascii="仿宋" w:hAnsi="仿宋" w:eastAsia="仿宋" w:cs="仿宋"/>
          <w:kern w:val="2"/>
          <w:sz w:val="28"/>
          <w:szCs w:val="28"/>
        </w:rPr>
        <w:t>个,当年绩效目标项目资金总额</w:t>
      </w:r>
      <w:r>
        <w:rPr>
          <w:rFonts w:hint="eastAsia" w:ascii="仿宋" w:hAnsi="仿宋" w:eastAsia="仿宋" w:cs="仿宋"/>
          <w:kern w:val="2"/>
          <w:sz w:val="28"/>
          <w:szCs w:val="28"/>
          <w:lang w:val="en-US" w:eastAsia="zh-CN"/>
        </w:rPr>
        <w:t>2000</w:t>
      </w:r>
      <w:r>
        <w:rPr>
          <w:rFonts w:hint="eastAsia" w:ascii="仿宋" w:hAnsi="仿宋" w:eastAsia="仿宋" w:cs="仿宋"/>
          <w:kern w:val="2"/>
          <w:sz w:val="28"/>
          <w:szCs w:val="28"/>
        </w:rPr>
        <w:t>万元，并全面设定了绩效目标将上年结转及本年提前下达的专项资金类中央和省级项目,以及市级安排的所有项目,都按要求设定了绩效目标,填写《绩效目标申报表》,随预算上报。</w:t>
      </w:r>
    </w:p>
    <w:p>
      <w:pPr>
        <w:keepNext w:val="0"/>
        <w:keepLines w:val="0"/>
        <w:pageBreakBefore w:val="0"/>
        <w:numPr>
          <w:ilvl w:val="0"/>
          <w:numId w:val="3"/>
        </w:numPr>
        <w:kinsoku/>
        <w:wordWrap/>
        <w:overflowPunct/>
        <w:topLinePunct w:val="0"/>
        <w:autoSpaceDE/>
        <w:autoSpaceDN/>
        <w:bidi w:val="0"/>
        <w:adjustRightInd/>
        <w:spacing w:line="360" w:lineRule="auto"/>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color w:val="auto"/>
          <w:sz w:val="28"/>
          <w:szCs w:val="28"/>
        </w:rPr>
        <w:t>单位决算中部分项目绩效自评结果。</w:t>
      </w:r>
    </w:p>
    <w:p>
      <w:pPr>
        <w:widowControl/>
        <w:snapToGrid w:val="0"/>
        <w:spacing w:before="100" w:after="100" w:line="360" w:lineRule="auto"/>
        <w:ind w:firstLine="560" w:firstLineChars="200"/>
        <w:jc w:val="left"/>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中医能力建设及运行补助经费绩效自评报告</w:t>
      </w:r>
    </w:p>
    <w:p>
      <w:pPr>
        <w:widowControl/>
        <w:snapToGrid w:val="0"/>
        <w:spacing w:before="100" w:after="100" w:line="360" w:lineRule="auto"/>
        <w:ind w:firstLine="560" w:firstLineChars="200"/>
        <w:jc w:val="left"/>
        <w:rPr>
          <w:rFonts w:hint="eastAsia" w:ascii="仿宋" w:hAnsi="仿宋" w:eastAsia="仿宋" w:cs="仿宋"/>
          <w:kern w:val="2"/>
          <w:sz w:val="28"/>
          <w:szCs w:val="28"/>
          <w:lang w:val="en-US" w:eastAsia="zh-CN"/>
        </w:rPr>
      </w:pPr>
      <w:r>
        <w:rPr>
          <w:rFonts w:hint="eastAsia" w:ascii="仿宋" w:hAnsi="仿宋" w:eastAsia="仿宋" w:cs="仿宋"/>
          <w:kern w:val="2"/>
          <w:sz w:val="28"/>
          <w:szCs w:val="28"/>
        </w:rPr>
        <w:t>项目概况</w:t>
      </w:r>
      <w:r>
        <w:rPr>
          <w:rFonts w:hint="eastAsia" w:ascii="仿宋" w:hAnsi="仿宋" w:eastAsia="仿宋" w:cs="仿宋"/>
          <w:kern w:val="2"/>
          <w:sz w:val="28"/>
          <w:szCs w:val="28"/>
          <w:lang w:eastAsia="zh-CN"/>
        </w:rPr>
        <w:t>：该项资金主要用于逐步提升医院的中医服务能力，并保证</w:t>
      </w:r>
      <w:r>
        <w:rPr>
          <w:rFonts w:hint="eastAsia" w:ascii="仿宋" w:hAnsi="仿宋" w:eastAsia="仿宋" w:cs="仿宋"/>
          <w:kern w:val="2"/>
          <w:sz w:val="28"/>
          <w:szCs w:val="28"/>
          <w:lang w:val="en-US" w:eastAsia="zh-CN"/>
        </w:rPr>
        <w:t>医院的正常运行。</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560" w:firstLineChars="200"/>
        <w:jc w:val="left"/>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项目资金申报及使用情况：资金计划、到位及使用情况。（1）资金计划：按经常性项目申请预算资金555.4万（2）资金到位：2020年财政实际拔付预算数538.78万（3）资金使用：载至2020年底实际支出预算538.78万，完成预算百分比为100%。其中用于中草药品费497.7万、宣传费12.8万、电脑脑耗材购置24万，供应室设备及医疗设备购置4.28万。</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项目财务管理情况</w:t>
      </w:r>
      <w:r>
        <w:rPr>
          <w:rFonts w:hint="eastAsia" w:ascii="仿宋" w:hAnsi="仿宋" w:eastAsia="仿宋" w:cs="仿宋"/>
          <w:sz w:val="28"/>
          <w:szCs w:val="28"/>
          <w:lang w:eastAsia="zh-CN"/>
        </w:rPr>
        <w:t>：</w:t>
      </w:r>
      <w:r>
        <w:rPr>
          <w:rFonts w:hint="eastAsia" w:ascii="仿宋" w:hAnsi="仿宋" w:eastAsia="仿宋" w:cs="仿宋"/>
          <w:sz w:val="28"/>
          <w:szCs w:val="28"/>
        </w:rPr>
        <w:t>严格执行财务管理制度，账务处理及时，会计核算规范。</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项目绩效情况  </w:t>
      </w:r>
      <w:r>
        <w:rPr>
          <w:rFonts w:hint="eastAsia" w:ascii="仿宋" w:hAnsi="仿宋" w:eastAsia="仿宋" w:cs="仿宋"/>
          <w:sz w:val="28"/>
          <w:szCs w:val="28"/>
          <w:lang w:eastAsia="zh-CN"/>
        </w:rPr>
        <w:t>：</w:t>
      </w:r>
      <w:r>
        <w:rPr>
          <w:rFonts w:hint="eastAsia" w:ascii="仿宋" w:hAnsi="仿宋" w:eastAsia="仿宋" w:cs="仿宋"/>
          <w:sz w:val="28"/>
          <w:szCs w:val="28"/>
        </w:rPr>
        <w:t>项目完成情况。</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时效目标：经核验，</w:t>
      </w:r>
      <w:r>
        <w:rPr>
          <w:rFonts w:hint="eastAsia" w:ascii="仿宋" w:hAnsi="仿宋" w:eastAsia="仿宋" w:cs="仿宋"/>
          <w:sz w:val="28"/>
          <w:szCs w:val="28"/>
          <w:lang w:eastAsia="zh-CN"/>
        </w:rPr>
        <w:t>该</w:t>
      </w:r>
      <w:r>
        <w:rPr>
          <w:rFonts w:hint="eastAsia" w:ascii="仿宋" w:hAnsi="仿宋" w:eastAsia="仿宋" w:cs="仿宋"/>
          <w:sz w:val="28"/>
          <w:szCs w:val="28"/>
        </w:rPr>
        <w:t>项目均在 20</w:t>
      </w:r>
      <w:r>
        <w:rPr>
          <w:rFonts w:hint="eastAsia" w:ascii="仿宋" w:hAnsi="仿宋" w:eastAsia="仿宋" w:cs="仿宋"/>
          <w:sz w:val="28"/>
          <w:szCs w:val="28"/>
          <w:lang w:val="en-US" w:eastAsia="zh-CN"/>
        </w:rPr>
        <w:t>20</w:t>
      </w:r>
      <w:r>
        <w:rPr>
          <w:rFonts w:hint="eastAsia" w:ascii="仿宋" w:hAnsi="仿宋" w:eastAsia="仿宋" w:cs="仿宋"/>
          <w:sz w:val="28"/>
          <w:szCs w:val="28"/>
        </w:rPr>
        <w:t xml:space="preserve"> 年年底前完成。目标完成 100%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成本目标：</w:t>
      </w:r>
      <w:r>
        <w:rPr>
          <w:rFonts w:hint="eastAsia" w:ascii="仿宋" w:hAnsi="仿宋" w:eastAsia="仿宋" w:cs="仿宋"/>
          <w:sz w:val="28"/>
          <w:szCs w:val="28"/>
          <w:lang w:val="en-US" w:eastAsia="zh-CN"/>
        </w:rPr>
        <w:t>538.78</w:t>
      </w:r>
      <w:r>
        <w:rPr>
          <w:rFonts w:hint="eastAsia" w:ascii="仿宋" w:hAnsi="仿宋" w:eastAsia="仿宋" w:cs="仿宋"/>
          <w:sz w:val="28"/>
          <w:szCs w:val="28"/>
        </w:rPr>
        <w:t xml:space="preserve"> 万元经费用于</w:t>
      </w:r>
      <w:r>
        <w:rPr>
          <w:rFonts w:hint="eastAsia" w:ascii="仿宋" w:hAnsi="仿宋" w:eastAsia="仿宋" w:cs="仿宋"/>
          <w:sz w:val="28"/>
          <w:szCs w:val="28"/>
          <w:lang w:eastAsia="zh-CN"/>
        </w:rPr>
        <w:t>院内各项</w:t>
      </w:r>
      <w:r>
        <w:rPr>
          <w:rFonts w:hint="eastAsia" w:ascii="仿宋" w:hAnsi="仿宋" w:eastAsia="仿宋" w:cs="仿宋"/>
          <w:sz w:val="28"/>
          <w:szCs w:val="28"/>
        </w:rPr>
        <w:t>运行补助支出。目标完成 100%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产出数量目标： 医院</w:t>
      </w:r>
      <w:r>
        <w:rPr>
          <w:rFonts w:hint="eastAsia" w:ascii="仿宋" w:hAnsi="仿宋" w:eastAsia="仿宋" w:cs="仿宋"/>
          <w:sz w:val="28"/>
          <w:szCs w:val="28"/>
          <w:lang w:eastAsia="zh-CN"/>
        </w:rPr>
        <w:t>因中医</w:t>
      </w:r>
      <w:r>
        <w:rPr>
          <w:rFonts w:hint="eastAsia" w:ascii="仿宋" w:hAnsi="仿宋" w:eastAsia="仿宋" w:cs="仿宋"/>
          <w:sz w:val="28"/>
          <w:szCs w:val="28"/>
        </w:rPr>
        <w:t xml:space="preserve">运营的特殊性，医院收入少、费用大。 </w:t>
      </w:r>
      <w:r>
        <w:rPr>
          <w:rFonts w:hint="eastAsia" w:ascii="仿宋" w:hAnsi="仿宋" w:eastAsia="仿宋" w:cs="仿宋"/>
          <w:sz w:val="28"/>
          <w:szCs w:val="28"/>
          <w:lang w:val="en-US" w:eastAsia="zh-CN"/>
        </w:rPr>
        <w:t>538.78</w:t>
      </w:r>
      <w:r>
        <w:rPr>
          <w:rFonts w:hint="eastAsia" w:ascii="仿宋" w:hAnsi="仿宋" w:eastAsia="仿宋" w:cs="仿宋"/>
          <w:sz w:val="28"/>
          <w:szCs w:val="28"/>
        </w:rPr>
        <w:t>万元财政补助款改善了医院的资金运行压力，一定程度上填补了亏损，充实了药房药品的储备。 达到年初绩效目标任务值。目标完成 100%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产出质量目标：</w:t>
      </w:r>
      <w:r>
        <w:rPr>
          <w:rFonts w:hint="eastAsia" w:ascii="仿宋" w:hAnsi="仿宋" w:eastAsia="仿宋" w:cs="仿宋"/>
          <w:sz w:val="28"/>
          <w:szCs w:val="28"/>
          <w:lang w:val="en-US" w:eastAsia="zh-CN"/>
        </w:rPr>
        <w:t>497</w:t>
      </w:r>
      <w:r>
        <w:rPr>
          <w:rFonts w:hint="eastAsia" w:ascii="仿宋" w:hAnsi="仿宋" w:eastAsia="仿宋" w:cs="仿宋"/>
          <w:sz w:val="28"/>
          <w:szCs w:val="28"/>
          <w:lang w:eastAsia="zh-CN"/>
        </w:rPr>
        <w:t>万</w:t>
      </w:r>
      <w:r>
        <w:rPr>
          <w:rFonts w:hint="eastAsia" w:ascii="仿宋" w:hAnsi="仿宋" w:eastAsia="仿宋" w:cs="仿宋"/>
          <w:sz w:val="28"/>
          <w:szCs w:val="28"/>
        </w:rPr>
        <w:t>财政补助专项款</w:t>
      </w:r>
      <w:r>
        <w:rPr>
          <w:rFonts w:hint="eastAsia" w:ascii="仿宋" w:hAnsi="仿宋" w:eastAsia="仿宋" w:cs="仿宋"/>
          <w:sz w:val="28"/>
          <w:szCs w:val="28"/>
          <w:lang w:eastAsia="zh-CN"/>
        </w:rPr>
        <w:t>主要</w:t>
      </w:r>
      <w:r>
        <w:rPr>
          <w:rFonts w:hint="eastAsia" w:ascii="仿宋" w:hAnsi="仿宋" w:eastAsia="仿宋" w:cs="仿宋"/>
          <w:sz w:val="28"/>
          <w:szCs w:val="28"/>
        </w:rPr>
        <w:t>购买医院日常用药</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保证了医院正常运行及患者的用药需求。</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项目效益情况</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经济效益目标：该项目实施后注入的</w:t>
      </w:r>
      <w:r>
        <w:rPr>
          <w:rFonts w:hint="eastAsia" w:ascii="仿宋" w:hAnsi="仿宋" w:eastAsia="仿宋" w:cs="仿宋"/>
          <w:sz w:val="28"/>
          <w:szCs w:val="28"/>
          <w:lang w:val="en-US" w:eastAsia="zh-CN"/>
        </w:rPr>
        <w:t>538.78</w:t>
      </w:r>
      <w:r>
        <w:rPr>
          <w:rFonts w:hint="eastAsia" w:ascii="仿宋" w:hAnsi="仿宋" w:eastAsia="仿宋" w:cs="仿宋"/>
          <w:sz w:val="28"/>
          <w:szCs w:val="28"/>
        </w:rPr>
        <w:t>万元资金，一定程度上弥补</w:t>
      </w:r>
      <w:r>
        <w:rPr>
          <w:rFonts w:hint="eastAsia" w:ascii="仿宋" w:hAnsi="仿宋" w:eastAsia="仿宋" w:cs="仿宋"/>
          <w:sz w:val="28"/>
          <w:szCs w:val="28"/>
          <w:lang w:eastAsia="zh-CN"/>
        </w:rPr>
        <w:t>了</w:t>
      </w:r>
      <w:r>
        <w:rPr>
          <w:rFonts w:hint="eastAsia" w:ascii="仿宋" w:hAnsi="仿宋" w:eastAsia="仿宋" w:cs="仿宋"/>
          <w:sz w:val="28"/>
          <w:szCs w:val="28"/>
        </w:rPr>
        <w:t>医院的亏损，使医院有较充裕的流动资金，显著改善了医院的资金运行。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可持续影响目标 ：医院平均床位使用率达 8</w:t>
      </w:r>
      <w:r>
        <w:rPr>
          <w:rFonts w:hint="eastAsia" w:ascii="仿宋" w:hAnsi="仿宋" w:eastAsia="仿宋" w:cs="仿宋"/>
          <w:sz w:val="28"/>
          <w:szCs w:val="28"/>
          <w:lang w:val="en-US" w:eastAsia="zh-CN"/>
        </w:rPr>
        <w:t>0</w:t>
      </w:r>
      <w:r>
        <w:rPr>
          <w:rFonts w:hint="eastAsia" w:ascii="仿宋" w:hAnsi="仿宋" w:eastAsia="仿宋" w:cs="仿宋"/>
          <w:sz w:val="28"/>
          <w:szCs w:val="28"/>
        </w:rPr>
        <w:t>% ，康复科从医疗、教学、科研等方面继续加强学科建设，培养专业人才 ， 重视学习提升，促进护理技术人才梯队建设。选派青年骨干到上级医院进修学习</w:t>
      </w:r>
      <w:r>
        <w:rPr>
          <w:rFonts w:hint="eastAsia" w:ascii="仿宋" w:hAnsi="仿宋" w:eastAsia="仿宋" w:cs="仿宋"/>
          <w:sz w:val="28"/>
          <w:szCs w:val="28"/>
          <w:lang w:eastAsia="zh-CN"/>
        </w:rPr>
        <w:t>，</w:t>
      </w:r>
      <w:r>
        <w:rPr>
          <w:rFonts w:hint="eastAsia" w:ascii="仿宋" w:hAnsi="仿宋" w:eastAsia="仿宋" w:cs="仿宋"/>
          <w:sz w:val="28"/>
          <w:szCs w:val="28"/>
        </w:rPr>
        <w:t>提高全体护士为患者服务的综合素质，提高服务对象的满意度。注重人才梯队的培养，以保证科室护理工作的良性运作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 服务对象满意度目标 ：为了 方便患者和家属。加强服务规范的培训，规范服务用语，真正落实护士站前移，强化护士的主动服务意识，主动深入病房巡视，为病人提供及时优质的服务。 护理部患者满意度调查平均 9</w:t>
      </w:r>
      <w:r>
        <w:rPr>
          <w:rFonts w:hint="eastAsia" w:ascii="仿宋" w:hAnsi="仿宋" w:eastAsia="仿宋" w:cs="仿宋"/>
          <w:sz w:val="28"/>
          <w:szCs w:val="28"/>
          <w:lang w:val="en-US" w:eastAsia="zh-CN"/>
        </w:rPr>
        <w:t>0</w:t>
      </w:r>
      <w:r>
        <w:rPr>
          <w:rFonts w:hint="eastAsia" w:ascii="仿宋" w:hAnsi="仿宋" w:eastAsia="仿宋" w:cs="仿宋"/>
          <w:sz w:val="28"/>
          <w:szCs w:val="28"/>
        </w:rPr>
        <w:t xml:space="preserve">% ，科室满意度调查≥ </w:t>
      </w:r>
      <w:r>
        <w:rPr>
          <w:rFonts w:hint="eastAsia" w:ascii="仿宋" w:hAnsi="仿宋" w:eastAsia="仿宋" w:cs="仿宋"/>
          <w:sz w:val="28"/>
          <w:szCs w:val="28"/>
          <w:lang w:val="en-US" w:eastAsia="zh-CN"/>
        </w:rPr>
        <w:t>80</w:t>
      </w:r>
      <w:r>
        <w:rPr>
          <w:rFonts w:hint="eastAsia" w:ascii="仿宋" w:hAnsi="仿宋" w:eastAsia="仿宋" w:cs="仿宋"/>
          <w:sz w:val="28"/>
          <w:szCs w:val="28"/>
        </w:rPr>
        <w:t>% ，科室护理工作得到广大患者及家属和科室医生的信任和赞许</w:t>
      </w:r>
      <w:r>
        <w:rPr>
          <w:rFonts w:hint="eastAsia" w:ascii="仿宋" w:hAnsi="仿宋" w:eastAsia="仿宋" w:cs="仿宋"/>
          <w:sz w:val="28"/>
          <w:szCs w:val="28"/>
          <w:lang w:val="en-US" w:eastAsia="zh-CN"/>
        </w:rPr>
        <w:t>,</w:t>
      </w:r>
      <w:r>
        <w:rPr>
          <w:rFonts w:hint="eastAsia" w:ascii="仿宋" w:hAnsi="仿宋" w:eastAsia="仿宋" w:cs="仿宋"/>
          <w:sz w:val="28"/>
          <w:szCs w:val="28"/>
        </w:rPr>
        <w:t>提高患者对医院的满意度。</w:t>
      </w:r>
    </w:p>
    <w:p>
      <w:pPr>
        <w:pStyle w:val="3"/>
        <w:keepNext w:val="0"/>
        <w:keepLines w:val="0"/>
        <w:pageBreakBefore w:val="0"/>
        <w:widowControl w:val="0"/>
        <w:kinsoku/>
        <w:wordWrap/>
        <w:overflowPunct/>
        <w:topLinePunct w:val="0"/>
        <w:autoSpaceDE/>
        <w:autoSpaceDN/>
        <w:bidi w:val="0"/>
        <w:adjustRightInd/>
        <w:snapToGrid/>
        <w:spacing w:beforeLines="0"/>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存在的问题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医院建立了专门的管理机构和监督机构对项目资金进行管理与监督</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但由于项目经办人员对政策法规不熟，致使医院财务部门收到项目资金后，没有及时拟定项目实施方案而影响支出进度，项目管理与监督难以落实。</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财务核算有待进一步规范。财务部门在审核专项资金支出时往往只能从票据本身的合理合法性进行审核，而对项目资金的使用范围缺乏明确的文件依据和审核标准，造成操作困难。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项目资金监管信息化建设滞后。由于项目资金监管信息化建设滞后，不能及时跟进，使项目资金的使用情况和实施效果无法进行实时监测，部门之间、科室之间信息沟通不畅，缺乏有效沟通，不能相互支持，无法形成合力，项目完成后也不能及时得到验收</w:t>
      </w:r>
      <w:r>
        <w:rPr>
          <w:rFonts w:hint="eastAsia" w:ascii="仿宋" w:hAnsi="仿宋" w:eastAsia="仿宋" w:cs="仿宋"/>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beforeLines="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改进措施：（</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完善相关管理规章制度。医院应建立和完善相关管理规章制度，制定岗位职责，加大对项目资金规范管理与监督力度。医院财务部门收到项目资金后，   根据项目资金预算以书面形式通知各相职能部门或科室，   各相关职能部门或科室要认真执行国家有关会计核算制度和财务规定，提出专项资金初步使用意见、拟订项目实施方案，按规定用途和开支标准提出用款申请，各相关职能科室主要负责人审核签字，   并由分管院领导审核把关签字；分管财务院长、院长审核签发；财务科审核、发放专项核算。预算执行中如确需调整用途的重大事项需提交院党政联席会研究确定，按程序报批，任何科室和个人不得滞留、截留、挪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加强项目资金信息化建设。医院应建立自己的项目资金数据收集信息系统，   实现对项目资金的自动收集、统计分析、项目资金监测的动态管理系统，各职能部门或科室要加强配合与协作，建立信息共享和协作配合机制，保障项目资金安全运行。</w:t>
      </w:r>
    </w:p>
    <w:p>
      <w:pPr>
        <w:pStyle w:val="3"/>
        <w:ind w:firstLine="600" w:firstLineChars="200"/>
        <w:rPr>
          <w:sz w:val="30"/>
          <w:szCs w:val="30"/>
        </w:rPr>
      </w:pPr>
    </w:p>
    <w:p>
      <w:pPr>
        <w:spacing w:line="360" w:lineRule="auto"/>
        <w:ind w:firstLine="560" w:firstLineChars="200"/>
        <w:rPr>
          <w:rFonts w:hint="eastAsia" w:ascii="仿宋_GB2312" w:eastAsia="仿宋_GB2312"/>
          <w:sz w:val="32"/>
          <w:szCs w:val="32"/>
        </w:rPr>
      </w:pPr>
      <w:r>
        <w:rPr>
          <w:rFonts w:hint="eastAsia" w:ascii="仿宋" w:hAnsi="仿宋" w:eastAsia="仿宋"/>
          <w:sz w:val="28"/>
          <w:szCs w:val="28"/>
        </w:rPr>
        <w:t>附件：</w:t>
      </w:r>
      <w:r>
        <w:rPr>
          <w:rFonts w:hint="eastAsia" w:ascii="仿宋" w:hAnsi="仿宋" w:eastAsia="仿宋"/>
          <w:sz w:val="28"/>
          <w:szCs w:val="28"/>
        </w:rPr>
        <w:drawing>
          <wp:inline distT="0" distB="0" distL="114300" distR="114300">
            <wp:extent cx="152400" cy="1524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7"/>
                    <a:stretch>
                      <a:fillRect/>
                    </a:stretch>
                  </pic:blipFill>
                  <pic:spPr>
                    <a:xfrm>
                      <a:off x="0" y="0"/>
                      <a:ext cx="152400" cy="152400"/>
                    </a:xfrm>
                    <a:prstGeom prst="rect">
                      <a:avLst/>
                    </a:prstGeom>
                    <a:noFill/>
                    <a:ln>
                      <a:noFill/>
                    </a:ln>
                  </pic:spPr>
                </pic:pic>
              </a:graphicData>
            </a:graphic>
          </wp:inline>
        </w:drawing>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"http://www.dt.gov.cn/dtzww/czyjs20/201807/9d8a702e71374917b79f3ac6b57a867e/files/1eefa6729e14481bb32785e5c7ff1316.xls" </w:instrText>
      </w:r>
      <w:r>
        <w:rPr>
          <w:rFonts w:hint="eastAsia" w:ascii="仿宋" w:hAnsi="仿宋" w:eastAsia="仿宋"/>
          <w:sz w:val="28"/>
          <w:szCs w:val="28"/>
        </w:rPr>
        <w:fldChar w:fldCharType="separate"/>
      </w:r>
      <w:r>
        <w:rPr>
          <w:rFonts w:hint="eastAsia" w:ascii="仿宋" w:hAnsi="仿宋" w:eastAsia="仿宋"/>
          <w:sz w:val="28"/>
          <w:szCs w:val="28"/>
        </w:rPr>
        <w:t>2020年大同市</w:t>
      </w:r>
      <w:r>
        <w:rPr>
          <w:rFonts w:hint="eastAsia" w:ascii="仿宋" w:hAnsi="仿宋" w:eastAsia="仿宋"/>
          <w:sz w:val="28"/>
          <w:szCs w:val="28"/>
          <w:lang w:eastAsia="zh-CN"/>
        </w:rPr>
        <w:t>中医医院</w:t>
      </w:r>
      <w:r>
        <w:rPr>
          <w:rFonts w:hint="eastAsia" w:ascii="仿宋" w:hAnsi="仿宋" w:eastAsia="仿宋"/>
          <w:sz w:val="28"/>
          <w:szCs w:val="28"/>
        </w:rPr>
        <w:t>决算表.xls</w:t>
      </w:r>
      <w:r>
        <w:rPr>
          <w:rFonts w:hint="eastAsia" w:ascii="仿宋" w:hAnsi="仿宋" w:eastAsia="仿宋"/>
          <w:sz w:val="28"/>
          <w:szCs w:val="28"/>
        </w:rPr>
        <w:fldChar w:fldCharType="end"/>
      </w:r>
    </w:p>
    <w:p>
      <w:pPr>
        <w:jc w:val="left"/>
        <w:rPr>
          <w:rFonts w:ascii="仿宋_GB2312" w:eastAsia="仿宋_GB2312"/>
          <w:sz w:val="30"/>
          <w:szCs w:val="30"/>
        </w:rPr>
      </w:pPr>
    </w:p>
    <w:sectPr>
      <w:headerReference r:id="rId3" w:type="default"/>
      <w:footerReference r:id="rId4" w:type="default"/>
      <w:footerReference r:id="rId5" w:type="even"/>
      <w:pgSz w:w="11906" w:h="16838"/>
      <w:pgMar w:top="1644" w:right="1418" w:bottom="158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b/>
        <w:bCs/>
        <w:sz w:val="21"/>
        <w:szCs w:val="21"/>
      </w:rPr>
    </w:pPr>
    <w:r>
      <w:fldChar w:fldCharType="begin"/>
    </w:r>
    <w:r>
      <w:rPr>
        <w:rStyle w:val="10"/>
      </w:rPr>
      <w:instrText xml:space="preserve">PAGE  </w:instrText>
    </w:r>
    <w:r>
      <w:fldChar w:fldCharType="separate"/>
    </w:r>
    <w:r>
      <w:rPr>
        <w:rStyle w:val="10"/>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73115"/>
    <w:multiLevelType w:val="singleLevel"/>
    <w:tmpl w:val="A5673115"/>
    <w:lvl w:ilvl="0" w:tentative="0">
      <w:start w:val="1"/>
      <w:numFmt w:val="decimal"/>
      <w:suff w:val="nothing"/>
      <w:lvlText w:val="%1、"/>
      <w:lvlJc w:val="left"/>
    </w:lvl>
  </w:abstractNum>
  <w:abstractNum w:abstractNumId="1">
    <w:nsid w:val="E66A6892"/>
    <w:multiLevelType w:val="singleLevel"/>
    <w:tmpl w:val="E66A6892"/>
    <w:lvl w:ilvl="0" w:tentative="0">
      <w:start w:val="1"/>
      <w:numFmt w:val="chineseCounting"/>
      <w:suff w:val="nothing"/>
      <w:lvlText w:val="%1、"/>
      <w:lvlJc w:val="left"/>
      <w:rPr>
        <w:rFonts w:hint="eastAsia"/>
      </w:rPr>
    </w:lvl>
  </w:abstractNum>
  <w:abstractNum w:abstractNumId="2">
    <w:nsid w:val="17DE4B67"/>
    <w:multiLevelType w:val="singleLevel"/>
    <w:tmpl w:val="17DE4B6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8E"/>
    <w:rsid w:val="00014033"/>
    <w:rsid w:val="00015917"/>
    <w:rsid w:val="0003511E"/>
    <w:rsid w:val="000451B1"/>
    <w:rsid w:val="000913E4"/>
    <w:rsid w:val="00096FD6"/>
    <w:rsid w:val="000A6010"/>
    <w:rsid w:val="000C3242"/>
    <w:rsid w:val="000D4FDC"/>
    <w:rsid w:val="000E1FB4"/>
    <w:rsid w:val="000F1483"/>
    <w:rsid w:val="0010004D"/>
    <w:rsid w:val="001263DA"/>
    <w:rsid w:val="001374A6"/>
    <w:rsid w:val="001536A4"/>
    <w:rsid w:val="00154575"/>
    <w:rsid w:val="00172A27"/>
    <w:rsid w:val="001749E4"/>
    <w:rsid w:val="00182815"/>
    <w:rsid w:val="001A0E45"/>
    <w:rsid w:val="001A3A9F"/>
    <w:rsid w:val="001A76C4"/>
    <w:rsid w:val="001C2096"/>
    <w:rsid w:val="001C6512"/>
    <w:rsid w:val="00224AF2"/>
    <w:rsid w:val="002360A6"/>
    <w:rsid w:val="002718E1"/>
    <w:rsid w:val="0029065D"/>
    <w:rsid w:val="00294051"/>
    <w:rsid w:val="002A35DC"/>
    <w:rsid w:val="002B295A"/>
    <w:rsid w:val="002D0360"/>
    <w:rsid w:val="002E1618"/>
    <w:rsid w:val="00310284"/>
    <w:rsid w:val="00340022"/>
    <w:rsid w:val="003663D2"/>
    <w:rsid w:val="00371195"/>
    <w:rsid w:val="003724E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562A"/>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5F4C27"/>
    <w:rsid w:val="0060151B"/>
    <w:rsid w:val="006021EC"/>
    <w:rsid w:val="0060477F"/>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1173A"/>
    <w:rsid w:val="007249B2"/>
    <w:rsid w:val="00734A8A"/>
    <w:rsid w:val="007627A1"/>
    <w:rsid w:val="0076459B"/>
    <w:rsid w:val="00776986"/>
    <w:rsid w:val="00783A08"/>
    <w:rsid w:val="0079063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B5773"/>
    <w:rsid w:val="008C6076"/>
    <w:rsid w:val="008D757B"/>
    <w:rsid w:val="008E399D"/>
    <w:rsid w:val="008F39D5"/>
    <w:rsid w:val="00905397"/>
    <w:rsid w:val="00944AE2"/>
    <w:rsid w:val="009452A8"/>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541B"/>
    <w:rsid w:val="00A96DEB"/>
    <w:rsid w:val="00AA0B97"/>
    <w:rsid w:val="00AC573F"/>
    <w:rsid w:val="00AE1C86"/>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26761"/>
    <w:rsid w:val="00C3042C"/>
    <w:rsid w:val="00C35F72"/>
    <w:rsid w:val="00C37B42"/>
    <w:rsid w:val="00C430D2"/>
    <w:rsid w:val="00C44C5A"/>
    <w:rsid w:val="00C4706B"/>
    <w:rsid w:val="00C53096"/>
    <w:rsid w:val="00C61925"/>
    <w:rsid w:val="00C94711"/>
    <w:rsid w:val="00CC1CE8"/>
    <w:rsid w:val="00CD4CE9"/>
    <w:rsid w:val="00D1253E"/>
    <w:rsid w:val="00D20AD4"/>
    <w:rsid w:val="00D2484E"/>
    <w:rsid w:val="00DA0649"/>
    <w:rsid w:val="00DB4697"/>
    <w:rsid w:val="00DB67A4"/>
    <w:rsid w:val="00DC77E2"/>
    <w:rsid w:val="00DD261E"/>
    <w:rsid w:val="00DF1053"/>
    <w:rsid w:val="00DF1BEC"/>
    <w:rsid w:val="00DF7E4D"/>
    <w:rsid w:val="00E36604"/>
    <w:rsid w:val="00E662AA"/>
    <w:rsid w:val="00E72874"/>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C24F1"/>
    <w:rsid w:val="00FF6A71"/>
    <w:rsid w:val="01752C08"/>
    <w:rsid w:val="01FE6F66"/>
    <w:rsid w:val="02780EFA"/>
    <w:rsid w:val="02EA74CA"/>
    <w:rsid w:val="038803A1"/>
    <w:rsid w:val="046F314B"/>
    <w:rsid w:val="05443F99"/>
    <w:rsid w:val="07E11B3A"/>
    <w:rsid w:val="082C5F64"/>
    <w:rsid w:val="0982278D"/>
    <w:rsid w:val="0B326570"/>
    <w:rsid w:val="0B6E3A8E"/>
    <w:rsid w:val="0BFA6613"/>
    <w:rsid w:val="0C9108BF"/>
    <w:rsid w:val="0CDF7A7F"/>
    <w:rsid w:val="0CF46396"/>
    <w:rsid w:val="0D2070D4"/>
    <w:rsid w:val="0D9D70DF"/>
    <w:rsid w:val="0ED500CD"/>
    <w:rsid w:val="0F152C13"/>
    <w:rsid w:val="0F153A82"/>
    <w:rsid w:val="1040014B"/>
    <w:rsid w:val="109A2368"/>
    <w:rsid w:val="1253626C"/>
    <w:rsid w:val="12AF3DA1"/>
    <w:rsid w:val="13B80F13"/>
    <w:rsid w:val="14745640"/>
    <w:rsid w:val="14BC7366"/>
    <w:rsid w:val="14E50709"/>
    <w:rsid w:val="188C4447"/>
    <w:rsid w:val="1A920952"/>
    <w:rsid w:val="1B9A76F1"/>
    <w:rsid w:val="1BB5592C"/>
    <w:rsid w:val="1D3E71D2"/>
    <w:rsid w:val="1DA6709F"/>
    <w:rsid w:val="1DE8352D"/>
    <w:rsid w:val="1E145182"/>
    <w:rsid w:val="204E71BB"/>
    <w:rsid w:val="213A3485"/>
    <w:rsid w:val="220D03D3"/>
    <w:rsid w:val="22BA1854"/>
    <w:rsid w:val="22D118DB"/>
    <w:rsid w:val="232657C6"/>
    <w:rsid w:val="233A6873"/>
    <w:rsid w:val="23725B50"/>
    <w:rsid w:val="24024A36"/>
    <w:rsid w:val="242D09DB"/>
    <w:rsid w:val="24425102"/>
    <w:rsid w:val="25090D56"/>
    <w:rsid w:val="253B1B6C"/>
    <w:rsid w:val="255C7817"/>
    <w:rsid w:val="26725AEF"/>
    <w:rsid w:val="268F4FE0"/>
    <w:rsid w:val="26D5661F"/>
    <w:rsid w:val="27451A74"/>
    <w:rsid w:val="27DF7388"/>
    <w:rsid w:val="29152451"/>
    <w:rsid w:val="2970099E"/>
    <w:rsid w:val="29970201"/>
    <w:rsid w:val="2A966A2C"/>
    <w:rsid w:val="2AAE61AA"/>
    <w:rsid w:val="2B2E1943"/>
    <w:rsid w:val="2B4A3E14"/>
    <w:rsid w:val="2C031ACD"/>
    <w:rsid w:val="2C207E65"/>
    <w:rsid w:val="2C2C7BFF"/>
    <w:rsid w:val="2D352804"/>
    <w:rsid w:val="2DDE0428"/>
    <w:rsid w:val="2E694C2E"/>
    <w:rsid w:val="2EBD6C76"/>
    <w:rsid w:val="2FAD453A"/>
    <w:rsid w:val="2FBD6C34"/>
    <w:rsid w:val="30CB19FF"/>
    <w:rsid w:val="31AF6DE3"/>
    <w:rsid w:val="32AF1025"/>
    <w:rsid w:val="33A159B1"/>
    <w:rsid w:val="33F80474"/>
    <w:rsid w:val="35884ACC"/>
    <w:rsid w:val="365A7C1F"/>
    <w:rsid w:val="369D4959"/>
    <w:rsid w:val="37364169"/>
    <w:rsid w:val="37ED0B68"/>
    <w:rsid w:val="382F21E1"/>
    <w:rsid w:val="39495FD0"/>
    <w:rsid w:val="3A084C78"/>
    <w:rsid w:val="3A551D66"/>
    <w:rsid w:val="3BFECB8E"/>
    <w:rsid w:val="3C1669C0"/>
    <w:rsid w:val="3C930339"/>
    <w:rsid w:val="3CF8350E"/>
    <w:rsid w:val="3D5D049C"/>
    <w:rsid w:val="3DB87D3C"/>
    <w:rsid w:val="3DD423DC"/>
    <w:rsid w:val="3F01277A"/>
    <w:rsid w:val="40E06A67"/>
    <w:rsid w:val="41824F41"/>
    <w:rsid w:val="4671137C"/>
    <w:rsid w:val="46CF33B1"/>
    <w:rsid w:val="470A0C4B"/>
    <w:rsid w:val="47A16424"/>
    <w:rsid w:val="47FC0D58"/>
    <w:rsid w:val="483144F9"/>
    <w:rsid w:val="487A70A3"/>
    <w:rsid w:val="49AD4782"/>
    <w:rsid w:val="4B0E66F8"/>
    <w:rsid w:val="4B823200"/>
    <w:rsid w:val="4BC32DA7"/>
    <w:rsid w:val="4EFB1625"/>
    <w:rsid w:val="4F0C401E"/>
    <w:rsid w:val="4F4B00CA"/>
    <w:rsid w:val="4FCC7BC5"/>
    <w:rsid w:val="4FD202A7"/>
    <w:rsid w:val="500E6173"/>
    <w:rsid w:val="50A26175"/>
    <w:rsid w:val="517D2764"/>
    <w:rsid w:val="52211C9B"/>
    <w:rsid w:val="52BC6998"/>
    <w:rsid w:val="53B17C0E"/>
    <w:rsid w:val="5451681F"/>
    <w:rsid w:val="54D138C2"/>
    <w:rsid w:val="55B43E03"/>
    <w:rsid w:val="57981DAE"/>
    <w:rsid w:val="58407D05"/>
    <w:rsid w:val="596F53E3"/>
    <w:rsid w:val="598B33B2"/>
    <w:rsid w:val="5C764B2F"/>
    <w:rsid w:val="5D993899"/>
    <w:rsid w:val="5E6E5B5B"/>
    <w:rsid w:val="5F8F291A"/>
    <w:rsid w:val="5FEBEA29"/>
    <w:rsid w:val="61B67266"/>
    <w:rsid w:val="623B4783"/>
    <w:rsid w:val="62841538"/>
    <w:rsid w:val="62D5110F"/>
    <w:rsid w:val="63FD185E"/>
    <w:rsid w:val="64A11704"/>
    <w:rsid w:val="651E28AE"/>
    <w:rsid w:val="69B93836"/>
    <w:rsid w:val="6AAD5CC1"/>
    <w:rsid w:val="6B557504"/>
    <w:rsid w:val="6B601DDF"/>
    <w:rsid w:val="6EC8203B"/>
    <w:rsid w:val="6F6033A6"/>
    <w:rsid w:val="6FA8282F"/>
    <w:rsid w:val="72255985"/>
    <w:rsid w:val="72D641B9"/>
    <w:rsid w:val="73D96A09"/>
    <w:rsid w:val="748A0243"/>
    <w:rsid w:val="75792978"/>
    <w:rsid w:val="76E847AA"/>
    <w:rsid w:val="77207610"/>
    <w:rsid w:val="779F7B25"/>
    <w:rsid w:val="77A65CA6"/>
    <w:rsid w:val="77AE7E71"/>
    <w:rsid w:val="77F75E91"/>
    <w:rsid w:val="786A0FA8"/>
    <w:rsid w:val="78AF2483"/>
    <w:rsid w:val="79EB17A6"/>
    <w:rsid w:val="7B4465D2"/>
    <w:rsid w:val="7D3E5C40"/>
    <w:rsid w:val="7DD05B01"/>
    <w:rsid w:val="7E8F6F3B"/>
    <w:rsid w:val="7F297B8D"/>
    <w:rsid w:val="7F4B58CD"/>
    <w:rsid w:val="7FBD0829"/>
    <w:rsid w:val="9EFD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beforeLines="30"/>
    </w:pPr>
    <w:rPr>
      <w:rFonts w:ascii="仿宋_GB2312" w:eastAsia="仿宋_GB2312"/>
      <w:sz w:val="3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character" w:styleId="10">
    <w:name w:val="page number"/>
    <w:basedOn w:val="9"/>
    <w:qFormat/>
    <w:uiPriority w:val="0"/>
  </w:style>
  <w:style w:type="character" w:styleId="11">
    <w:name w:val="FollowedHyperlink"/>
    <w:basedOn w:val="9"/>
    <w:qFormat/>
    <w:uiPriority w:val="0"/>
    <w:rPr>
      <w:color w:val="800080" w:themeColor="followedHyperlink"/>
      <w:u w:val="single"/>
      <w14:textFill>
        <w14:solidFill>
          <w14:schemeClr w14:val="folHlink"/>
        </w14:solidFill>
      </w14:textFill>
    </w:rPr>
  </w:style>
  <w:style w:type="character" w:styleId="12">
    <w:name w:val="Hyperlink"/>
    <w:basedOn w:val="9"/>
    <w:qFormat/>
    <w:uiPriority w:val="0"/>
    <w:rPr>
      <w:color w:val="0000FF" w:themeColor="hyperlink"/>
      <w:u w:val="single"/>
      <w14:textFill>
        <w14:solidFill>
          <w14:schemeClr w14:val="hlink"/>
        </w14:solidFill>
      </w14:textFill>
    </w:rPr>
  </w:style>
  <w:style w:type="character" w:customStyle="1" w:styleId="13">
    <w:name w:val="font01"/>
    <w:basedOn w:val="9"/>
    <w:qFormat/>
    <w:uiPriority w:val="0"/>
    <w:rPr>
      <w:rFonts w:hint="default" w:ascii="Arial" w:hAnsi="Arial" w:cs="Arial"/>
      <w:color w:val="000000"/>
      <w:sz w:val="20"/>
      <w:szCs w:val="20"/>
      <w:u w:val="none"/>
    </w:rPr>
  </w:style>
  <w:style w:type="character" w:customStyle="1" w:styleId="14">
    <w:name w:val="font11"/>
    <w:basedOn w:val="9"/>
    <w:qFormat/>
    <w:uiPriority w:val="0"/>
    <w:rPr>
      <w:rFonts w:hint="eastAsia" w:ascii="宋体" w:hAnsi="宋体" w:eastAsia="宋体" w:cs="宋体"/>
      <w:color w:val="000000"/>
      <w:sz w:val="20"/>
      <w:szCs w:val="20"/>
      <w:u w:val="none"/>
    </w:rPr>
  </w:style>
  <w:style w:type="paragraph" w:styleId="15">
    <w:name w:val="List Paragraph"/>
    <w:basedOn w:val="1"/>
    <w:qFormat/>
    <w:uiPriority w:val="99"/>
    <w:pPr>
      <w:ind w:firstLine="420" w:firstLineChars="200"/>
    </w:pPr>
  </w:style>
  <w:style w:type="paragraph" w:customStyle="1" w:styleId="16">
    <w:name w:val="Compact"/>
    <w:basedOn w:val="3"/>
    <w:qFormat/>
    <w:uiPriority w:val="0"/>
    <w:pPr>
      <w:spacing w:before="36" w:after="36"/>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276</Words>
  <Characters>1576</Characters>
  <Lines>13</Lines>
  <Paragraphs>3</Paragraphs>
  <TotalTime>35</TotalTime>
  <ScaleCrop>false</ScaleCrop>
  <LinksUpToDate>false</LinksUpToDate>
  <CharactersWithSpaces>1849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2021-05-08T03:27:00Z</dcterms:created>
  <dc:creator>赵树子</dc:creator>
  <cp:lastModifiedBy>蓝色天空</cp:lastModifiedBy>
  <cp:lastPrinted>2019-06-22T10:52:00Z</cp:lastPrinted>
  <dcterms:modified xsi:type="dcterms:W3CDTF">2021-10-25T09:18:32Z</dcterms:modified>
  <dc:title>四川省财政厅2011年部门预算编制说明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CF216A8D154041D7B4B977A3C29D71EE</vt:lpwstr>
  </property>
</Properties>
</file>