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4"/>
          <w:szCs w:val="44"/>
        </w:rPr>
      </w:pPr>
      <w:r>
        <w:rPr>
          <w:rFonts w:hint="eastAsia" w:ascii="黑体" w:hAnsi="黑体" w:eastAsia="黑体" w:cs="黑体"/>
          <w:sz w:val="44"/>
          <w:szCs w:val="44"/>
        </w:rPr>
        <w:t>大同市政府和社会资本合作中心</w:t>
      </w:r>
    </w:p>
    <w:p>
      <w:pPr>
        <w:spacing w:line="360" w:lineRule="auto"/>
        <w:jc w:val="center"/>
        <w:rPr>
          <w:rFonts w:ascii="黑体" w:hAnsi="黑体" w:eastAsia="黑体" w:cs="黑体"/>
          <w:sz w:val="44"/>
          <w:szCs w:val="44"/>
        </w:rPr>
      </w:pPr>
      <w:r>
        <w:rPr>
          <w:rFonts w:hint="eastAsia" w:ascii="黑体" w:hAnsi="黑体" w:eastAsia="黑体" w:cs="黑体"/>
          <w:sz w:val="44"/>
          <w:szCs w:val="44"/>
        </w:rPr>
        <w:t>2021年度部门预算</w:t>
      </w:r>
    </w:p>
    <w:p>
      <w:pPr>
        <w:spacing w:line="360" w:lineRule="auto"/>
        <w:rPr>
          <w:rFonts w:ascii="仿宋" w:hAnsi="仿宋" w:eastAsia="仿宋" w:cs="仿宋"/>
          <w:sz w:val="28"/>
          <w:szCs w:val="28"/>
        </w:rPr>
      </w:pPr>
    </w:p>
    <w:p>
      <w:pPr>
        <w:spacing w:line="360" w:lineRule="auto"/>
        <w:rPr>
          <w:rFonts w:ascii="黑体" w:hAnsi="黑体" w:eastAsia="黑体" w:cs="黑体"/>
          <w:sz w:val="28"/>
          <w:szCs w:val="28"/>
        </w:rPr>
      </w:pPr>
      <w:r>
        <w:rPr>
          <w:rFonts w:hint="eastAsia" w:ascii="黑体" w:hAnsi="黑体" w:eastAsia="黑体" w:cs="黑体"/>
          <w:sz w:val="28"/>
          <w:szCs w:val="28"/>
        </w:rPr>
        <w:t>第一部分  概况</w:t>
      </w:r>
    </w:p>
    <w:p>
      <w:pPr>
        <w:spacing w:line="360" w:lineRule="auto"/>
        <w:rPr>
          <w:rFonts w:ascii="黑体" w:hAnsi="黑体" w:eastAsia="黑体" w:cs="黑体"/>
          <w:sz w:val="28"/>
          <w:szCs w:val="28"/>
        </w:rPr>
      </w:pPr>
      <w:r>
        <w:rPr>
          <w:rFonts w:hint="eastAsia" w:ascii="黑体" w:hAnsi="黑体" w:eastAsia="黑体" w:cs="黑体"/>
          <w:sz w:val="28"/>
          <w:szCs w:val="28"/>
        </w:rPr>
        <w:t>一、单位职能</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1、负责组织协调构建全市统一、规范、高效的PPP模式及项目管理机制，明确各方职责，推动全市PPP模式规范运行。</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2、履行规划指导、融资支持、识别评估、咨询服务、宣传培训、项目筛选、信息发布、合同管理、争议协调、绩效评价、信息统计、专家库和项目库建设等职责。</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3、负责做好与省相关机构及有关PPP基金、金融机构、社会资本对接工作，同时为部门单位和县区开展PPP项目提供金融和指导服务工作等。</w:t>
      </w:r>
    </w:p>
    <w:p>
      <w:pPr>
        <w:spacing w:line="620" w:lineRule="exact"/>
        <w:ind w:firstLine="640" w:firstLineChars="200"/>
      </w:pPr>
      <w:r>
        <w:rPr>
          <w:rFonts w:hint="eastAsia" w:ascii="仿宋" w:hAnsi="仿宋" w:eastAsia="仿宋" w:cs="仿宋"/>
          <w:sz w:val="32"/>
          <w:szCs w:val="32"/>
        </w:rPr>
        <w:t>4、完成市政府及市财政局交办的有关工作，负责市公共服务领导组办公室日常工作。</w:t>
      </w:r>
    </w:p>
    <w:p>
      <w:pPr>
        <w:spacing w:line="620" w:lineRule="exact"/>
        <w:rPr>
          <w:rFonts w:ascii="黑体" w:hAnsi="黑体" w:eastAsia="黑体" w:cs="黑体"/>
          <w:sz w:val="32"/>
          <w:szCs w:val="32"/>
        </w:rPr>
      </w:pPr>
      <w:r>
        <w:rPr>
          <w:rFonts w:hint="eastAsia" w:ascii="黑体" w:hAnsi="黑体" w:eastAsia="黑体" w:cs="黑体"/>
          <w:sz w:val="32"/>
          <w:szCs w:val="32"/>
        </w:rPr>
        <w:t>二、编制情况</w:t>
      </w:r>
    </w:p>
    <w:p>
      <w:pPr>
        <w:spacing w:line="620" w:lineRule="exact"/>
        <w:rPr>
          <w:rFonts w:ascii="仿宋" w:hAnsi="仿宋" w:eastAsia="仿宋" w:cs="仿宋"/>
          <w:sz w:val="32"/>
          <w:szCs w:val="32"/>
        </w:rPr>
      </w:pPr>
      <w:r>
        <w:rPr>
          <w:rFonts w:hint="eastAsia" w:ascii="仿宋" w:hAnsi="仿宋" w:eastAsia="仿宋" w:cs="仿宋"/>
          <w:sz w:val="32"/>
          <w:szCs w:val="32"/>
        </w:rPr>
        <w:t xml:space="preserve">    大同市政府和社会资本合作中心，公益一类事业单位，正科级建制，核定财政拨款事业编制13名，其中科级领导职数1正1副。</w:t>
      </w:r>
    </w:p>
    <w:p>
      <w:pPr>
        <w:spacing w:line="360" w:lineRule="auto"/>
        <w:rPr>
          <w:rFonts w:ascii="黑体" w:hAnsi="黑体" w:eastAsia="黑体" w:cs="黑体"/>
          <w:sz w:val="28"/>
          <w:szCs w:val="28"/>
        </w:rPr>
      </w:pPr>
      <w:r>
        <w:rPr>
          <w:rFonts w:hint="eastAsia" w:ascii="黑体" w:hAnsi="黑体" w:eastAsia="黑体" w:cs="黑体"/>
          <w:sz w:val="28"/>
          <w:szCs w:val="28"/>
        </w:rPr>
        <w:t>第二部分 2020年部门预算报表</w:t>
      </w:r>
    </w:p>
    <w:p>
      <w:pPr>
        <w:spacing w:line="360" w:lineRule="auto"/>
        <w:rPr>
          <w:rFonts w:ascii="仿宋" w:hAnsi="仿宋" w:eastAsia="仿宋" w:cs="仿宋"/>
          <w:sz w:val="28"/>
          <w:szCs w:val="28"/>
        </w:rPr>
      </w:pPr>
      <w:r>
        <w:rPr>
          <w:rFonts w:hint="eastAsia" w:ascii="仿宋" w:hAnsi="仿宋" w:eastAsia="仿宋" w:cs="仿宋"/>
          <w:sz w:val="28"/>
          <w:szCs w:val="28"/>
        </w:rPr>
        <w:t>大同市财政局2020年部门预算公开表1-14</w:t>
      </w:r>
    </w:p>
    <w:p>
      <w:pPr>
        <w:spacing w:line="360" w:lineRule="auto"/>
        <w:rPr>
          <w:rFonts w:ascii="黑体" w:hAnsi="黑体" w:eastAsia="黑体" w:cs="黑体"/>
          <w:sz w:val="28"/>
          <w:szCs w:val="28"/>
        </w:rPr>
      </w:pPr>
      <w:r>
        <w:rPr>
          <w:rFonts w:hint="eastAsia" w:ascii="黑体" w:hAnsi="黑体" w:eastAsia="黑体" w:cs="黑体"/>
          <w:sz w:val="28"/>
          <w:szCs w:val="28"/>
        </w:rPr>
        <w:t>第三部分  2021年度部门预算情况说明</w:t>
      </w:r>
    </w:p>
    <w:p>
      <w:pPr>
        <w:spacing w:line="360" w:lineRule="auto"/>
        <w:rPr>
          <w:rFonts w:ascii="黑体" w:hAnsi="黑体" w:eastAsia="黑体" w:cs="黑体"/>
          <w:sz w:val="28"/>
          <w:szCs w:val="28"/>
        </w:rPr>
      </w:pPr>
      <w:r>
        <w:rPr>
          <w:rFonts w:hint="eastAsia" w:ascii="黑体" w:hAnsi="黑体" w:eastAsia="黑体" w:cs="黑体"/>
          <w:sz w:val="28"/>
          <w:szCs w:val="28"/>
        </w:rPr>
        <w:t>一、2021年度部门预算收支情况</w:t>
      </w:r>
    </w:p>
    <w:p>
      <w:pPr>
        <w:spacing w:line="360" w:lineRule="auto"/>
        <w:rPr>
          <w:rFonts w:ascii="仿宋" w:hAnsi="仿宋" w:eastAsia="仿宋" w:cs="仿宋"/>
          <w:sz w:val="28"/>
          <w:szCs w:val="28"/>
        </w:rPr>
      </w:pPr>
      <w:r>
        <w:rPr>
          <w:rFonts w:hint="eastAsia" w:ascii="仿宋" w:hAnsi="仿宋" w:eastAsia="仿宋" w:cs="仿宋"/>
          <w:sz w:val="28"/>
          <w:szCs w:val="28"/>
        </w:rPr>
        <w:t>（一）预算收支情况</w:t>
      </w:r>
    </w:p>
    <w:p>
      <w:pPr>
        <w:spacing w:line="360" w:lineRule="auto"/>
        <w:ind w:firstLine="640" w:firstLineChars="200"/>
        <w:rPr>
          <w:rFonts w:ascii="仿宋" w:hAnsi="仿宋" w:eastAsia="仿宋" w:cs="仿宋"/>
          <w:sz w:val="28"/>
          <w:szCs w:val="28"/>
        </w:rPr>
      </w:pPr>
      <w:r>
        <w:rPr>
          <w:rFonts w:hint="eastAsia" w:ascii="仿宋" w:hAnsi="仿宋" w:eastAsia="仿宋" w:cs="仿宋"/>
          <w:sz w:val="32"/>
          <w:szCs w:val="32"/>
        </w:rPr>
        <w:t>大同市政府和社会资本合作中心</w:t>
      </w:r>
      <w:r>
        <w:rPr>
          <w:rFonts w:hint="eastAsia" w:ascii="仿宋" w:hAnsi="仿宋" w:eastAsia="仿宋" w:cs="仿宋"/>
          <w:sz w:val="28"/>
          <w:szCs w:val="28"/>
        </w:rPr>
        <w:t>2021年无收入预算；支出预算为284.4万元，其中，一般公共服务支出255.7万元；卫生健康支出5.2万元；社会保障和就业支出13.1万元；住房保障支出10.4万元。</w:t>
      </w:r>
    </w:p>
    <w:p>
      <w:pPr>
        <w:spacing w:line="360" w:lineRule="auto"/>
        <w:rPr>
          <w:rFonts w:ascii="仿宋" w:hAnsi="仿宋" w:eastAsia="仿宋" w:cs="仿宋"/>
          <w:sz w:val="28"/>
          <w:szCs w:val="28"/>
        </w:rPr>
      </w:pPr>
      <w:r>
        <w:rPr>
          <w:rFonts w:hint="eastAsia" w:ascii="仿宋" w:hAnsi="仿宋" w:eastAsia="仿宋" w:cs="仿宋"/>
          <w:sz w:val="28"/>
          <w:szCs w:val="28"/>
        </w:rPr>
        <w:t>（二）一般公共预算支出情况</w:t>
      </w:r>
    </w:p>
    <w:p>
      <w:pPr>
        <w:spacing w:line="360" w:lineRule="auto"/>
        <w:ind w:firstLine="640" w:firstLineChars="200"/>
        <w:rPr>
          <w:rFonts w:ascii="仿宋" w:hAnsi="仿宋" w:eastAsia="仿宋" w:cs="仿宋"/>
          <w:sz w:val="28"/>
          <w:szCs w:val="28"/>
        </w:rPr>
      </w:pPr>
      <w:r>
        <w:rPr>
          <w:rFonts w:hint="eastAsia" w:ascii="仿宋" w:hAnsi="仿宋" w:eastAsia="仿宋" w:cs="仿宋"/>
          <w:sz w:val="32"/>
          <w:szCs w:val="32"/>
        </w:rPr>
        <w:t>大同市政府和社会资本合作中心</w:t>
      </w:r>
      <w:r>
        <w:rPr>
          <w:rFonts w:hint="eastAsia" w:ascii="仿宋" w:hAnsi="仿宋" w:eastAsia="仿宋" w:cs="仿宋"/>
          <w:sz w:val="28"/>
          <w:szCs w:val="28"/>
        </w:rPr>
        <w:t>2021年一般公共预算支出预算255.7万元，2020年预算147.1</w:t>
      </w:r>
      <w:r>
        <w:rPr>
          <w:rFonts w:hint="eastAsia" w:ascii="仿宋" w:hAnsi="仿宋" w:eastAsia="仿宋" w:cs="仿宋"/>
          <w:sz w:val="28"/>
          <w:szCs w:val="28"/>
          <w:lang w:eastAsia="zh-CN"/>
        </w:rPr>
        <w:t>万元</w:t>
      </w:r>
      <w:r>
        <w:rPr>
          <w:rFonts w:hint="eastAsia" w:ascii="仿宋" w:hAnsi="仿宋" w:eastAsia="仿宋" w:cs="仿宋"/>
          <w:sz w:val="28"/>
          <w:szCs w:val="28"/>
        </w:rPr>
        <w:t>，比2020年增加108.6万元，增加73.8%。</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1、2021年基本支出120.9万元,2020年108.3万元，比2020年增加12.6万元。增加11.6%。基本支出系</w:t>
      </w:r>
      <w:bookmarkStart w:id="0" w:name="_GoBack"/>
      <w:bookmarkEnd w:id="0"/>
      <w:r>
        <w:rPr>
          <w:rFonts w:hint="eastAsia" w:ascii="仿宋" w:hAnsi="仿宋" w:eastAsia="仿宋" w:cs="仿宋"/>
          <w:sz w:val="28"/>
          <w:szCs w:val="28"/>
        </w:rPr>
        <w:t>按现有人员工资标准和公用经费定额标准核定。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其中：人员经费支出109.5万元，主要包括基本工资、津贴补贴、奖金、绩效工资、机关事业单位基本养老保险缴费、职工基本医疗保险缴费、其他社会保障缴费、住房公积金、其他工资福利支出、退休费、奖励金；公用经费11.4万元，主要包括办公费、差旅费、工会经费、福利费、公务用车运行维护费、其他商品服务支出。</w:t>
      </w:r>
    </w:p>
    <w:p>
      <w:pPr>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2021年项目支出163.5万元，比2020年同口径增加114.68万元。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主要原因为：绩效评价服务费增加支出99万元，专项事务经费等增加支出15.68万元。</w:t>
      </w:r>
    </w:p>
    <w:p>
      <w:pPr>
        <w:spacing w:line="360" w:lineRule="auto"/>
        <w:rPr>
          <w:rFonts w:ascii="仿宋" w:hAnsi="仿宋" w:eastAsia="仿宋" w:cs="仿宋"/>
          <w:sz w:val="28"/>
          <w:szCs w:val="28"/>
        </w:rPr>
      </w:pPr>
      <w:r>
        <w:rPr>
          <w:rFonts w:hint="eastAsia" w:ascii="仿宋" w:hAnsi="仿宋" w:eastAsia="仿宋" w:cs="仿宋"/>
          <w:sz w:val="28"/>
          <w:szCs w:val="28"/>
        </w:rPr>
        <w:t>（三）政府性基金预算支出情况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无</w:t>
      </w:r>
    </w:p>
    <w:p>
      <w:pPr>
        <w:spacing w:line="360" w:lineRule="auto"/>
        <w:rPr>
          <w:rFonts w:ascii="黑体" w:hAnsi="黑体" w:eastAsia="黑体" w:cs="黑体"/>
          <w:sz w:val="28"/>
          <w:szCs w:val="28"/>
        </w:rPr>
      </w:pPr>
      <w:r>
        <w:rPr>
          <w:rFonts w:hint="eastAsia" w:ascii="黑体" w:hAnsi="黑体" w:eastAsia="黑体" w:cs="黑体"/>
          <w:sz w:val="28"/>
          <w:szCs w:val="28"/>
        </w:rPr>
        <w:t>二、“三公”经费情况</w:t>
      </w:r>
    </w:p>
    <w:p>
      <w:pPr>
        <w:spacing w:line="360" w:lineRule="auto"/>
        <w:ind w:firstLine="560" w:firstLineChars="200"/>
        <w:rPr>
          <w:rFonts w:ascii="仿宋" w:hAnsi="仿宋" w:eastAsia="仿宋" w:cs="仿宋"/>
          <w:color w:val="FF0000"/>
          <w:sz w:val="28"/>
          <w:szCs w:val="28"/>
        </w:rPr>
      </w:pPr>
      <w:r>
        <w:rPr>
          <w:rFonts w:hint="eastAsia" w:ascii="仿宋" w:hAnsi="仿宋" w:eastAsia="仿宋" w:cs="仿宋"/>
          <w:sz w:val="28"/>
          <w:szCs w:val="28"/>
        </w:rPr>
        <w:t>2021年一般公共预算安排的“三公”经费预算3.2万元，同口径相比2020年增加1.64万元。主要是公务用车运行维护费增加。其中：因公出国（境）0元，与上年相同；公务接待费0万元，公务用车运行维护费1.56万元，比2020年增加1.64万元，主要是公务用车运行维护费增加；公务用车购置费0元，与上年相同。</w:t>
      </w:r>
    </w:p>
    <w:p>
      <w:pPr>
        <w:spacing w:line="360" w:lineRule="auto"/>
        <w:rPr>
          <w:rFonts w:ascii="黑体" w:hAnsi="黑体" w:eastAsia="黑体" w:cs="黑体"/>
          <w:sz w:val="28"/>
          <w:szCs w:val="28"/>
        </w:rPr>
      </w:pPr>
      <w:r>
        <w:rPr>
          <w:rFonts w:hint="eastAsia" w:ascii="黑体" w:hAnsi="黑体" w:eastAsia="黑体" w:cs="黑体"/>
          <w:sz w:val="28"/>
          <w:szCs w:val="28"/>
        </w:rPr>
        <w:t>三、机关运行经费情况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无</w:t>
      </w:r>
    </w:p>
    <w:p>
      <w:pPr>
        <w:spacing w:line="360" w:lineRule="auto"/>
        <w:rPr>
          <w:rFonts w:ascii="黑体" w:hAnsi="黑体" w:eastAsia="黑体" w:cs="黑体"/>
          <w:sz w:val="28"/>
          <w:szCs w:val="28"/>
        </w:rPr>
      </w:pPr>
      <w:r>
        <w:rPr>
          <w:rFonts w:hint="eastAsia" w:ascii="黑体" w:hAnsi="黑体" w:eastAsia="黑体" w:cs="黑体"/>
          <w:sz w:val="28"/>
          <w:szCs w:val="28"/>
        </w:rPr>
        <w:t>四、政府采购情况</w:t>
      </w:r>
    </w:p>
    <w:p>
      <w:pPr>
        <w:spacing w:line="360" w:lineRule="auto"/>
        <w:ind w:firstLine="560" w:firstLineChars="200"/>
        <w:rPr>
          <w:rFonts w:ascii="仿宋" w:hAnsi="仿宋" w:eastAsia="仿宋" w:cs="仿宋"/>
          <w:b/>
          <w:bCs/>
          <w:color w:val="FF0000"/>
          <w:sz w:val="28"/>
          <w:szCs w:val="28"/>
        </w:rPr>
      </w:pPr>
      <w:r>
        <w:rPr>
          <w:rFonts w:hint="eastAsia" w:ascii="仿宋" w:hAnsi="仿宋" w:eastAsia="仿宋" w:cs="仿宋"/>
          <w:sz w:val="28"/>
          <w:szCs w:val="28"/>
        </w:rPr>
        <w:t>2021年</w:t>
      </w:r>
      <w:r>
        <w:rPr>
          <w:rFonts w:hint="eastAsia" w:ascii="仿宋" w:hAnsi="仿宋" w:eastAsia="仿宋" w:cs="仿宋"/>
          <w:sz w:val="32"/>
          <w:szCs w:val="32"/>
        </w:rPr>
        <w:t>大同市政府和社会资本合作中心</w:t>
      </w:r>
      <w:r>
        <w:rPr>
          <w:rFonts w:hint="eastAsia" w:ascii="仿宋" w:hAnsi="仿宋" w:eastAsia="仿宋" w:cs="仿宋"/>
          <w:sz w:val="28"/>
          <w:szCs w:val="28"/>
        </w:rPr>
        <w:t>政府采购预算145万元，比上年减少132.86万元，主要为办公消耗用品及类似物、办公设备、工程政策咨询服务、纸制品及印刷品及其他商务服务。严格按照《政府采购法》及相关规章制度执行采购预算。</w:t>
      </w:r>
    </w:p>
    <w:p>
      <w:pPr>
        <w:spacing w:line="360" w:lineRule="auto"/>
        <w:rPr>
          <w:rFonts w:ascii="黑体" w:hAnsi="黑体" w:eastAsia="黑体" w:cs="黑体"/>
          <w:sz w:val="28"/>
          <w:szCs w:val="28"/>
        </w:rPr>
      </w:pPr>
      <w:r>
        <w:rPr>
          <w:rFonts w:hint="eastAsia" w:ascii="黑体" w:hAnsi="黑体" w:eastAsia="黑体" w:cs="黑体"/>
          <w:sz w:val="28"/>
          <w:szCs w:val="28"/>
        </w:rPr>
        <w:t>五、绩效管理情况</w:t>
      </w:r>
    </w:p>
    <w:p>
      <w:pPr>
        <w:spacing w:line="360" w:lineRule="auto"/>
        <w:rPr>
          <w:rFonts w:ascii="仿宋" w:hAnsi="仿宋" w:eastAsia="仿宋" w:cs="仿宋"/>
          <w:sz w:val="28"/>
          <w:szCs w:val="28"/>
        </w:rPr>
      </w:pPr>
      <w:r>
        <w:rPr>
          <w:rFonts w:hint="eastAsia" w:ascii="仿宋" w:hAnsi="仿宋" w:eastAsia="仿宋" w:cs="仿宋"/>
          <w:sz w:val="28"/>
          <w:szCs w:val="28"/>
        </w:rPr>
        <w:t>1、绩效管理情况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
          <w:sz w:val="32"/>
          <w:szCs w:val="32"/>
        </w:rPr>
        <w:t>大同市政府和社会资本合作中心</w:t>
      </w:r>
      <w:r>
        <w:rPr>
          <w:rFonts w:hint="eastAsia" w:ascii="仿宋" w:hAnsi="仿宋" w:eastAsia="仿宋" w:cs="仿宋"/>
          <w:sz w:val="28"/>
          <w:szCs w:val="28"/>
        </w:rPr>
        <w:t>有8个项目全部实施绩效目标管理，实现财政预算绩效目标管理全覆盖。</w:t>
      </w:r>
    </w:p>
    <w:p>
      <w:pPr>
        <w:spacing w:line="360" w:lineRule="auto"/>
        <w:rPr>
          <w:rFonts w:ascii="仿宋" w:hAnsi="仿宋" w:eastAsia="仿宋" w:cs="仿宋"/>
          <w:sz w:val="28"/>
          <w:szCs w:val="28"/>
        </w:rPr>
      </w:pPr>
      <w:r>
        <w:rPr>
          <w:rFonts w:hint="eastAsia" w:ascii="仿宋" w:hAnsi="仿宋" w:eastAsia="仿宋" w:cs="仿宋"/>
          <w:sz w:val="28"/>
          <w:szCs w:val="28"/>
        </w:rPr>
        <w:t>2、绩效目标情况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在实施绩效目标管理的项目中，资金较大的项目有绩效评价服务、咨询服务及业务工作经费等项目。</w:t>
      </w:r>
    </w:p>
    <w:p>
      <w:pPr>
        <w:spacing w:line="360" w:lineRule="auto"/>
        <w:rPr>
          <w:rFonts w:ascii="仿宋" w:hAnsi="仿宋" w:eastAsia="仿宋" w:cs="仿宋"/>
          <w:sz w:val="28"/>
          <w:szCs w:val="28"/>
        </w:rPr>
      </w:pPr>
      <w:r>
        <w:rPr>
          <w:rFonts w:hint="eastAsia" w:ascii="仿宋" w:hAnsi="仿宋" w:eastAsia="仿宋" w:cs="仿宋"/>
          <w:sz w:val="28"/>
          <w:szCs w:val="28"/>
        </w:rPr>
        <w:t>（1）XPPP绩效评价服务费</w:t>
      </w:r>
    </w:p>
    <w:p>
      <w:pPr>
        <w:spacing w:line="360" w:lineRule="auto"/>
        <w:rPr>
          <w:rFonts w:ascii="仿宋" w:hAnsi="仿宋" w:eastAsia="仿宋" w:cs="仿宋"/>
          <w:sz w:val="28"/>
          <w:szCs w:val="28"/>
        </w:rPr>
      </w:pPr>
      <w:r>
        <w:rPr>
          <w:rFonts w:hint="eastAsia" w:ascii="仿宋" w:hAnsi="仿宋" w:eastAsia="仿宋" w:cs="仿宋"/>
          <w:sz w:val="28"/>
          <w:szCs w:val="28"/>
        </w:rPr>
        <w:t>年度预算安排：一般公共预算财政拨款99万元</w:t>
      </w:r>
    </w:p>
    <w:p>
      <w:pPr>
        <w:spacing w:line="360" w:lineRule="auto"/>
        <w:rPr>
          <w:rFonts w:hint="eastAsia" w:ascii="仿宋" w:hAnsi="仿宋" w:eastAsia="仿宋" w:cs="仿宋"/>
          <w:sz w:val="28"/>
          <w:szCs w:val="28"/>
        </w:rPr>
      </w:pPr>
      <w:r>
        <w:rPr>
          <w:rFonts w:hint="eastAsia" w:ascii="仿宋" w:hAnsi="仿宋" w:eastAsia="仿宋" w:cs="仿宋"/>
          <w:sz w:val="28"/>
          <w:szCs w:val="28"/>
        </w:rPr>
        <w:t>项目概况：大同市教育PPP项目、大同市恒安污水厂PPP项目、大同市文瀛湖生态公园PPP项目绩效评价工作。</w:t>
      </w:r>
    </w:p>
    <w:p>
      <w:pPr>
        <w:spacing w:line="360" w:lineRule="auto"/>
        <w:rPr>
          <w:rFonts w:ascii="仿宋" w:hAnsi="仿宋" w:eastAsia="仿宋" w:cs="仿宋"/>
          <w:sz w:val="28"/>
          <w:szCs w:val="28"/>
        </w:rPr>
      </w:pPr>
      <w:r>
        <w:rPr>
          <w:rFonts w:hint="eastAsia" w:ascii="仿宋" w:hAnsi="仿宋" w:eastAsia="仿宋" w:cs="仿宋"/>
          <w:sz w:val="28"/>
          <w:szCs w:val="28"/>
        </w:rPr>
        <w:t>年度目标：形成绩效评估结果与财政支出相挂钩的机制，实现按效付费，切实做到“花钱必问效，无效必问责”</w:t>
      </w:r>
    </w:p>
    <w:p>
      <w:pPr>
        <w:spacing w:line="360" w:lineRule="auto"/>
        <w:rPr>
          <w:rFonts w:ascii="黑体" w:hAnsi="黑体" w:eastAsia="黑体" w:cs="黑体"/>
          <w:sz w:val="28"/>
          <w:szCs w:val="28"/>
        </w:rPr>
      </w:pPr>
      <w:r>
        <w:rPr>
          <w:rFonts w:hint="eastAsia" w:ascii="黑体" w:hAnsi="黑体" w:eastAsia="黑体" w:cs="黑体"/>
          <w:sz w:val="28"/>
          <w:szCs w:val="28"/>
        </w:rPr>
        <w:t>六、国有资产占有使用情况</w:t>
      </w:r>
    </w:p>
    <w:p>
      <w:pPr>
        <w:spacing w:line="360" w:lineRule="auto"/>
        <w:rPr>
          <w:rFonts w:ascii="仿宋" w:hAnsi="仿宋" w:eastAsia="仿宋" w:cs="仿宋"/>
          <w:sz w:val="28"/>
          <w:szCs w:val="28"/>
        </w:rPr>
      </w:pPr>
      <w:r>
        <w:rPr>
          <w:rFonts w:hint="eastAsia" w:ascii="仿宋" w:hAnsi="仿宋" w:eastAsia="仿宋" w:cs="仿宋"/>
          <w:sz w:val="28"/>
          <w:szCs w:val="28"/>
        </w:rPr>
        <w:t>1、车辆情况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公务用车制度改革后，工作用车1辆。</w:t>
      </w:r>
    </w:p>
    <w:p>
      <w:pPr>
        <w:spacing w:line="360" w:lineRule="auto"/>
        <w:rPr>
          <w:rFonts w:ascii="仿宋" w:hAnsi="仿宋" w:eastAsia="仿宋" w:cs="仿宋"/>
          <w:sz w:val="28"/>
          <w:szCs w:val="28"/>
        </w:rPr>
      </w:pPr>
      <w:r>
        <w:rPr>
          <w:rFonts w:hint="eastAsia" w:ascii="仿宋" w:hAnsi="仿宋" w:eastAsia="仿宋" w:cs="仿宋"/>
          <w:sz w:val="28"/>
          <w:szCs w:val="28"/>
        </w:rPr>
        <w:t>2、房屋情况</w:t>
      </w:r>
    </w:p>
    <w:p>
      <w:pPr>
        <w:spacing w:line="360" w:lineRule="auto"/>
        <w:ind w:firstLine="640" w:firstLineChars="200"/>
        <w:rPr>
          <w:rFonts w:ascii="仿宋" w:hAnsi="仿宋" w:eastAsia="仿宋" w:cs="仿宋"/>
          <w:sz w:val="28"/>
          <w:szCs w:val="28"/>
        </w:rPr>
      </w:pPr>
      <w:r>
        <w:rPr>
          <w:rFonts w:hint="eastAsia" w:ascii="仿宋" w:hAnsi="仿宋" w:eastAsia="仿宋" w:cs="仿宋"/>
          <w:sz w:val="32"/>
          <w:szCs w:val="32"/>
        </w:rPr>
        <w:t>大同市政府和社会资本合作中心</w:t>
      </w:r>
      <w:r>
        <w:rPr>
          <w:rFonts w:hint="eastAsia" w:ascii="仿宋" w:hAnsi="仿宋" w:eastAsia="仿宋" w:cs="仿宋"/>
          <w:sz w:val="28"/>
          <w:szCs w:val="28"/>
        </w:rPr>
        <w:t>共有房屋150平方米。其中办公用房75平方米，业务用房75平方米。</w:t>
      </w:r>
    </w:p>
    <w:p>
      <w:pPr>
        <w:pStyle w:val="16"/>
        <w:numPr>
          <w:ilvl w:val="0"/>
          <w:numId w:val="1"/>
        </w:numPr>
        <w:spacing w:line="360" w:lineRule="auto"/>
        <w:ind w:firstLineChars="0"/>
        <w:rPr>
          <w:rFonts w:hint="eastAsia" w:ascii="仿宋" w:hAnsi="仿宋" w:eastAsia="仿宋" w:cs="仿宋"/>
          <w:sz w:val="28"/>
          <w:szCs w:val="28"/>
        </w:rPr>
      </w:pPr>
      <w:r>
        <w:rPr>
          <w:rFonts w:hint="eastAsia" w:ascii="仿宋" w:hAnsi="仿宋" w:eastAsia="仿宋" w:cs="仿宋"/>
          <w:sz w:val="28"/>
          <w:szCs w:val="28"/>
        </w:rPr>
        <w:t>其他国有资产占有使用情况</w:t>
      </w:r>
    </w:p>
    <w:p>
      <w:pPr>
        <w:pStyle w:val="2"/>
        <w:ind w:leftChars="0" w:firstLineChars="0"/>
      </w:pPr>
      <w:r>
        <w:rPr>
          <w:rFonts w:hint="eastAsia"/>
        </w:rPr>
        <w:t>无</w:t>
      </w:r>
    </w:p>
    <w:p>
      <w:pPr>
        <w:spacing w:line="360" w:lineRule="auto"/>
        <w:rPr>
          <w:rFonts w:ascii="黑体" w:hAnsi="黑体" w:eastAsia="黑体" w:cs="黑体"/>
          <w:sz w:val="28"/>
          <w:szCs w:val="28"/>
        </w:rPr>
      </w:pPr>
      <w:r>
        <w:rPr>
          <w:rFonts w:hint="eastAsia" w:ascii="黑体" w:hAnsi="黑体" w:eastAsia="黑体" w:cs="黑体"/>
          <w:sz w:val="28"/>
          <w:szCs w:val="28"/>
        </w:rPr>
        <w:t>第四部分  名词解释</w:t>
      </w:r>
    </w:p>
    <w:p>
      <w:pPr>
        <w:spacing w:line="360" w:lineRule="auto"/>
        <w:rPr>
          <w:rFonts w:ascii="仿宋" w:hAnsi="仿宋" w:eastAsia="仿宋" w:cs="仿宋"/>
          <w:sz w:val="28"/>
          <w:szCs w:val="28"/>
        </w:rPr>
      </w:pPr>
      <w:r>
        <w:rPr>
          <w:rFonts w:hint="eastAsia" w:ascii="仿宋" w:hAnsi="仿宋" w:eastAsia="仿宋" w:cs="仿宋"/>
          <w:sz w:val="28"/>
          <w:szCs w:val="28"/>
        </w:rPr>
        <w:t>一、基本支出：指为保障机构正常运转、完成日常工作任务而发生的人员支出和公用支出。</w:t>
      </w:r>
    </w:p>
    <w:p>
      <w:pPr>
        <w:spacing w:line="360" w:lineRule="auto"/>
        <w:rPr>
          <w:rFonts w:ascii="仿宋" w:hAnsi="仿宋" w:eastAsia="仿宋" w:cs="仿宋"/>
          <w:sz w:val="28"/>
          <w:szCs w:val="28"/>
        </w:rPr>
      </w:pPr>
      <w:r>
        <w:rPr>
          <w:rFonts w:hint="eastAsia" w:ascii="仿宋" w:hAnsi="仿宋" w:eastAsia="仿宋" w:cs="仿宋"/>
          <w:sz w:val="28"/>
          <w:szCs w:val="28"/>
        </w:rPr>
        <w:t>二、项目支出：指在基本支出之外为完成特定行政任务和事业发展目标所发生的支出。</w:t>
      </w:r>
    </w:p>
    <w:p>
      <w:pPr>
        <w:spacing w:line="360" w:lineRule="auto"/>
        <w:rPr>
          <w:rFonts w:ascii="仿宋" w:hAnsi="仿宋" w:eastAsia="仿宋" w:cs="仿宋"/>
          <w:sz w:val="28"/>
          <w:szCs w:val="28"/>
        </w:rPr>
      </w:pPr>
      <w:r>
        <w:rPr>
          <w:rFonts w:hint="eastAsia" w:ascii="仿宋" w:hAnsi="仿宋" w:eastAsia="仿宋" w:cs="仿宋"/>
          <w:sz w:val="28"/>
          <w:szCs w:val="28"/>
        </w:rPr>
        <w:t>三、“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360" w:lineRule="auto"/>
        <w:rPr>
          <w:rFonts w:ascii="仿宋" w:hAnsi="仿宋" w:eastAsia="仿宋" w:cs="仿宋"/>
          <w:sz w:val="28"/>
          <w:szCs w:val="28"/>
        </w:rPr>
      </w:pPr>
      <w:r>
        <w:rPr>
          <w:rFonts w:hint="eastAsia" w:ascii="仿宋" w:hAnsi="仿宋" w:eastAsia="仿宋" w:cs="仿宋"/>
          <w:sz w:val="28"/>
          <w:szCs w:val="28"/>
        </w:rPr>
        <w:t>四、机关运行经费：指行政单位和参照公务员法管理的事业单位使用一般公共预算安排的基本支出中的日常公用经费支出。</w:t>
      </w:r>
    </w:p>
    <w:p>
      <w:pPr>
        <w:spacing w:line="360" w:lineRule="auto"/>
        <w:rPr>
          <w:rFonts w:ascii="仿宋" w:hAnsi="仿宋" w:eastAsia="仿宋" w:cs="仿宋"/>
          <w:sz w:val="28"/>
          <w:szCs w:val="28"/>
        </w:rPr>
      </w:pPr>
      <w:r>
        <w:rPr>
          <w:rFonts w:hint="eastAsia" w:ascii="仿宋" w:hAnsi="仿宋" w:eastAsia="仿宋" w:cs="仿宋"/>
          <w:sz w:val="28"/>
          <w:szCs w:val="28"/>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0D66A9"/>
    <w:multiLevelType w:val="singleLevel"/>
    <w:tmpl w:val="460D66A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3703C4"/>
    <w:rsid w:val="00294860"/>
    <w:rsid w:val="003B3DF2"/>
    <w:rsid w:val="003F0F2E"/>
    <w:rsid w:val="00444F04"/>
    <w:rsid w:val="00553687"/>
    <w:rsid w:val="006D2001"/>
    <w:rsid w:val="0083051B"/>
    <w:rsid w:val="00897CBD"/>
    <w:rsid w:val="009A4298"/>
    <w:rsid w:val="00C37EB4"/>
    <w:rsid w:val="00CE4A6C"/>
    <w:rsid w:val="00D32579"/>
    <w:rsid w:val="00E01E48"/>
    <w:rsid w:val="00E37B46"/>
    <w:rsid w:val="086B4C90"/>
    <w:rsid w:val="09B0696E"/>
    <w:rsid w:val="0EAF3E75"/>
    <w:rsid w:val="140A233F"/>
    <w:rsid w:val="162D192B"/>
    <w:rsid w:val="1CAE5161"/>
    <w:rsid w:val="1F6B3E0B"/>
    <w:rsid w:val="20B31924"/>
    <w:rsid w:val="22166A06"/>
    <w:rsid w:val="2422548D"/>
    <w:rsid w:val="252D192B"/>
    <w:rsid w:val="25FF5A8B"/>
    <w:rsid w:val="2C3703C4"/>
    <w:rsid w:val="2C9F1DCF"/>
    <w:rsid w:val="2D3235CD"/>
    <w:rsid w:val="2E44049D"/>
    <w:rsid w:val="305902D1"/>
    <w:rsid w:val="36EC4961"/>
    <w:rsid w:val="3D303200"/>
    <w:rsid w:val="498F5164"/>
    <w:rsid w:val="4EC45820"/>
    <w:rsid w:val="52186589"/>
    <w:rsid w:val="546551A7"/>
    <w:rsid w:val="55464A4C"/>
    <w:rsid w:val="55962ECC"/>
    <w:rsid w:val="565D5AB9"/>
    <w:rsid w:val="5A984780"/>
    <w:rsid w:val="5C4323AB"/>
    <w:rsid w:val="5CD65528"/>
    <w:rsid w:val="5F742556"/>
    <w:rsid w:val="5F7E7026"/>
    <w:rsid w:val="607277C5"/>
    <w:rsid w:val="62672D1B"/>
    <w:rsid w:val="62E477CF"/>
    <w:rsid w:val="63DE5B7D"/>
    <w:rsid w:val="64BE5D95"/>
    <w:rsid w:val="655C2CA0"/>
    <w:rsid w:val="65BB23C6"/>
    <w:rsid w:val="68D67B2A"/>
    <w:rsid w:val="6EC06594"/>
    <w:rsid w:val="70DE4403"/>
    <w:rsid w:val="72074B60"/>
    <w:rsid w:val="75B31560"/>
    <w:rsid w:val="79A80EF3"/>
    <w:rsid w:val="7A2F5F39"/>
    <w:rsid w:val="7C8947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table of authorities"/>
    <w:basedOn w:val="1"/>
    <w:next w:val="1"/>
    <w:qFormat/>
    <w:uiPriority w:val="0"/>
    <w:pPr>
      <w:ind w:left="420" w:leftChars="200"/>
    </w:p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customStyle="1" w:styleId="9">
    <w:name w:val="rbtn"/>
    <w:basedOn w:val="8"/>
    <w:uiPriority w:val="0"/>
    <w:rPr>
      <w:color w:val="469DEA"/>
      <w:bdr w:val="single" w:color="E5E5E5" w:sz="6" w:space="0"/>
    </w:rPr>
  </w:style>
  <w:style w:type="character" w:customStyle="1" w:styleId="10">
    <w:name w:val="rbtn1"/>
    <w:basedOn w:val="8"/>
    <w:uiPriority w:val="0"/>
    <w:rPr>
      <w:color w:val="469DEA"/>
      <w:sz w:val="21"/>
      <w:szCs w:val="21"/>
      <w:bdr w:val="single" w:color="E5E5E5" w:sz="6" w:space="0"/>
    </w:rPr>
  </w:style>
  <w:style w:type="character" w:customStyle="1" w:styleId="11">
    <w:name w:val="active6"/>
    <w:basedOn w:val="8"/>
    <w:uiPriority w:val="0"/>
    <w:rPr>
      <w:color w:val="00FF00"/>
      <w:shd w:val="clear" w:color="auto" w:fill="000000"/>
    </w:rPr>
  </w:style>
  <w:style w:type="character" w:customStyle="1" w:styleId="12">
    <w:name w:val="hilite6"/>
    <w:basedOn w:val="8"/>
    <w:uiPriority w:val="0"/>
    <w:rPr>
      <w:color w:val="FFFFFF"/>
      <w:shd w:val="clear" w:color="auto" w:fill="666677"/>
    </w:rPr>
  </w:style>
  <w:style w:type="character" w:customStyle="1" w:styleId="13">
    <w:name w:val="character7"/>
    <w:basedOn w:val="8"/>
    <w:uiPriority w:val="0"/>
    <w:rPr>
      <w:color w:val="333333"/>
    </w:rPr>
  </w:style>
  <w:style w:type="character" w:customStyle="1" w:styleId="14">
    <w:name w:val="页眉 Char"/>
    <w:basedOn w:val="8"/>
    <w:link w:val="6"/>
    <w:uiPriority w:val="0"/>
    <w:rPr>
      <w:rFonts w:asciiTheme="minorHAnsi" w:hAnsiTheme="minorHAnsi" w:eastAsiaTheme="minorEastAsia" w:cstheme="minorBidi"/>
      <w:kern w:val="2"/>
      <w:sz w:val="18"/>
      <w:szCs w:val="18"/>
    </w:rPr>
  </w:style>
  <w:style w:type="character" w:customStyle="1" w:styleId="15">
    <w:name w:val="页脚 Char"/>
    <w:basedOn w:val="8"/>
    <w:link w:val="5"/>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319</Words>
  <Characters>1821</Characters>
  <Lines>15</Lines>
  <Paragraphs>4</Paragraphs>
  <TotalTime>173</TotalTime>
  <ScaleCrop>false</ScaleCrop>
  <LinksUpToDate>false</LinksUpToDate>
  <CharactersWithSpaces>2136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2020-05-18T03:10:00Z</dcterms:created>
  <dc:creator>一江烟雨1401721866</dc:creator>
  <cp:lastModifiedBy>一江烟雨1401721866</cp:lastModifiedBy>
  <cp:lastPrinted>2021-05-14T01:21:00Z</cp:lastPrinted>
  <dcterms:modified xsi:type="dcterms:W3CDTF">2021-05-19T03:31:22Z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BB74503DCB82451E9732F77BDC7AA3A7</vt:lpwstr>
  </property>
</Properties>
</file>