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32"/>
          <w:szCs w:val="32"/>
          <w:shd w:val="clear" w:fill="FFFFFF"/>
          <w:lang w:eastAsia="zh-CN"/>
        </w:rPr>
      </w:pPr>
      <w:bookmarkStart w:id="23" w:name="_GoBack"/>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lang w:eastAsia="zh-CN"/>
        </w:rPr>
        <w:t>大同市紧急医疗救援中心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Calibri" w:hAnsi="Calibri" w:eastAsia="方正小标宋简体" w:cs="Calibri"/>
          <w:i w:val="0"/>
          <w:iCs w:val="0"/>
          <w:caps w:val="0"/>
          <w:color w:val="000000"/>
          <w:spacing w:val="0"/>
          <w:sz w:val="32"/>
          <w:szCs w:val="32"/>
          <w:lang w:eastAsia="zh-CN"/>
        </w:rPr>
      </w:pP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rPr>
        <w:t>202</w:t>
      </w: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lang w:val="en-US" w:eastAsia="zh-CN"/>
        </w:rPr>
        <w:t>2</w:t>
      </w: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rPr>
        <w:t>年预算</w:t>
      </w: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lang w:eastAsia="zh-CN"/>
        </w:rPr>
        <w:t>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仿宋_GB2312" w:hAnsi="Calibri" w:eastAsia="仿宋_GB2312" w:cs="仿宋_GB2312"/>
          <w:b w:val="0"/>
          <w:bCs w:val="0"/>
          <w:i w:val="0"/>
          <w:iCs w:val="0"/>
          <w:caps w:val="0"/>
          <w:color w:val="000000"/>
          <w:spacing w:val="0"/>
          <w:sz w:val="44"/>
          <w:szCs w:val="44"/>
          <w:shd w:val="clear" w:fill="FFFFFF"/>
        </w:rPr>
      </w:pPr>
    </w:p>
    <w:sdt>
      <w:sdtPr>
        <w:rPr>
          <w:rFonts w:ascii="宋体" w:hAnsi="宋体" w:eastAsia="宋体" w:cstheme="minorBidi"/>
          <w:kern w:val="2"/>
          <w:sz w:val="32"/>
          <w:szCs w:val="40"/>
          <w:lang w:val="en-US" w:eastAsia="zh-CN" w:bidi="ar-SA"/>
        </w:rPr>
        <w:id w:val="147483188"/>
        <w15:color w:val="DBDBDB"/>
        <w:docPartObj>
          <w:docPartGallery w:val="Table of Contents"/>
          <w:docPartUnique/>
        </w:docPartObj>
      </w:sdtPr>
      <w:sdtEndPr>
        <w:rPr>
          <w:rFonts w:hint="eastAsia" w:ascii="宋体" w:hAnsi="宋体" w:eastAsia="宋体" w:cstheme="minorBidi"/>
          <w:kern w:val="2"/>
          <w:sz w:val="32"/>
          <w:szCs w:val="40"/>
          <w:lang w:val="en-US" w:eastAsia="zh-CN" w:bidi="ar-SA"/>
        </w:rPr>
      </w:sdtEndPr>
      <w:sdtContent>
        <w:p>
          <w:pPr>
            <w:spacing w:before="0" w:beforeLines="0" w:after="0" w:afterLines="0" w:line="240" w:lineRule="auto"/>
            <w:ind w:left="0" w:leftChars="0" w:right="0" w:rightChars="0" w:firstLine="0" w:firstLineChars="0"/>
            <w:jc w:val="center"/>
            <w:rPr>
              <w:sz w:val="32"/>
              <w:szCs w:val="40"/>
            </w:rPr>
          </w:pPr>
          <w:r>
            <w:rPr>
              <w:rFonts w:ascii="宋体" w:hAnsi="宋体" w:eastAsia="宋体"/>
              <w:sz w:val="32"/>
              <w:szCs w:val="40"/>
            </w:rPr>
            <w:t>目录</w:t>
          </w:r>
        </w:p>
        <w:p>
          <w:pPr>
            <w:pStyle w:val="11"/>
            <w:tabs>
              <w:tab w:val="right" w:leader="dot" w:pos="8845"/>
            </w:tabs>
            <w:rPr>
              <w:b/>
              <w:sz w:val="28"/>
              <w:szCs w:val="28"/>
            </w:rPr>
          </w:pPr>
          <w:r>
            <w:rPr>
              <w:rFonts w:hint="eastAsia" w:ascii="黑体" w:hAnsi="黑体" w:eastAsia="黑体" w:cs="黑体"/>
              <w:b/>
              <w:bCs/>
              <w:i w:val="0"/>
              <w:iCs w:val="0"/>
              <w:caps w:val="0"/>
              <w:color w:val="000000"/>
              <w:spacing w:val="0"/>
              <w:sz w:val="48"/>
              <w:szCs w:val="48"/>
              <w:shd w:val="clear" w:fill="FFFFFF"/>
            </w:rPr>
            <w:fldChar w:fldCharType="begin"/>
          </w:r>
          <w:r>
            <w:rPr>
              <w:rFonts w:hint="eastAsia" w:ascii="黑体" w:hAnsi="黑体" w:eastAsia="黑体" w:cs="黑体"/>
              <w:b/>
              <w:bCs/>
              <w:i w:val="0"/>
              <w:iCs w:val="0"/>
              <w:caps w:val="0"/>
              <w:color w:val="000000"/>
              <w:spacing w:val="0"/>
              <w:sz w:val="48"/>
              <w:szCs w:val="48"/>
              <w:shd w:val="clear" w:fill="FFFFFF"/>
            </w:rPr>
            <w:instrText xml:space="preserve">TOC \o "1-2" \h \u </w:instrText>
          </w:r>
          <w:r>
            <w:rPr>
              <w:rFonts w:hint="eastAsia" w:ascii="黑体" w:hAnsi="黑体" w:eastAsia="黑体" w:cs="黑体"/>
              <w:b/>
              <w:bCs/>
              <w:i w:val="0"/>
              <w:iCs w:val="0"/>
              <w:caps w:val="0"/>
              <w:color w:val="000000"/>
              <w:spacing w:val="0"/>
              <w:sz w:val="48"/>
              <w:szCs w:val="48"/>
              <w:shd w:val="clear" w:fill="FFFFFF"/>
            </w:rPr>
            <w:fldChar w:fldCharType="separate"/>
          </w:r>
          <w:r>
            <w:rPr>
              <w:rFonts w:hint="eastAsia" w:ascii="黑体" w:hAnsi="黑体" w:eastAsia="黑体" w:cs="黑体"/>
              <w:b/>
              <w:bCs/>
              <w:i w:val="0"/>
              <w:iCs w:val="0"/>
              <w:caps w:val="0"/>
              <w:color w:val="000000"/>
              <w:spacing w:val="0"/>
              <w:sz w:val="28"/>
              <w:szCs w:val="48"/>
              <w:shd w:val="clear" w:fill="FFFFFF"/>
            </w:rPr>
            <w:fldChar w:fldCharType="begin"/>
          </w:r>
          <w:r>
            <w:rPr>
              <w:rFonts w:hint="eastAsia" w:ascii="黑体" w:hAnsi="黑体" w:eastAsia="黑体" w:cs="黑体"/>
              <w:b/>
              <w:bCs/>
              <w:i w:val="0"/>
              <w:iCs w:val="0"/>
              <w:caps w:val="0"/>
              <w:spacing w:val="0"/>
              <w:sz w:val="28"/>
              <w:szCs w:val="48"/>
              <w:shd w:val="clear" w:fill="FFFFFF"/>
            </w:rPr>
            <w:instrText xml:space="preserve"> HYPERLINK \l _Toc5006 </w:instrText>
          </w:r>
          <w:r>
            <w:rPr>
              <w:rFonts w:hint="eastAsia" w:ascii="黑体" w:hAnsi="黑体" w:eastAsia="黑体" w:cs="黑体"/>
              <w:b/>
              <w:bCs/>
              <w:i w:val="0"/>
              <w:iCs w:val="0"/>
              <w:caps w:val="0"/>
              <w:spacing w:val="0"/>
              <w:sz w:val="28"/>
              <w:szCs w:val="48"/>
              <w:shd w:val="clear" w:fill="FFFFFF"/>
            </w:rPr>
            <w:fldChar w:fldCharType="separate"/>
          </w:r>
          <w:r>
            <w:rPr>
              <w:rFonts w:hint="eastAsia" w:ascii="黑体" w:hAnsi="黑体" w:eastAsia="黑体" w:cs="黑体"/>
              <w:b/>
              <w:bCs/>
              <w:i w:val="0"/>
              <w:iCs w:val="0"/>
              <w:caps w:val="0"/>
              <w:spacing w:val="0"/>
              <w:sz w:val="28"/>
              <w:szCs w:val="48"/>
              <w:shd w:val="clear" w:fill="FFFFFF"/>
            </w:rPr>
            <w:t xml:space="preserve">第一部分 </w:t>
          </w:r>
          <w:r>
            <w:rPr>
              <w:rFonts w:hint="eastAsia" w:ascii="黑体" w:hAnsi="黑体" w:eastAsia="黑体" w:cs="黑体"/>
              <w:b/>
              <w:bCs/>
              <w:i w:val="0"/>
              <w:iCs w:val="0"/>
              <w:caps w:val="0"/>
              <w:spacing w:val="0"/>
              <w:sz w:val="28"/>
              <w:szCs w:val="48"/>
              <w:shd w:val="clear" w:fill="FFFFFF"/>
              <w:lang w:val="en-US" w:eastAsia="zh-CN"/>
            </w:rPr>
            <w:t>单位</w:t>
          </w:r>
          <w:r>
            <w:rPr>
              <w:rFonts w:hint="eastAsia" w:ascii="黑体" w:hAnsi="黑体" w:eastAsia="黑体" w:cs="黑体"/>
              <w:b/>
              <w:bCs/>
              <w:i w:val="0"/>
              <w:iCs w:val="0"/>
              <w:caps w:val="0"/>
              <w:spacing w:val="0"/>
              <w:sz w:val="28"/>
              <w:szCs w:val="48"/>
              <w:shd w:val="clear" w:fill="FFFFFF"/>
            </w:rPr>
            <w:t>概况</w:t>
          </w:r>
          <w:r>
            <w:rPr>
              <w:b/>
              <w:sz w:val="28"/>
              <w:szCs w:val="28"/>
            </w:rPr>
            <w:tab/>
          </w:r>
          <w:r>
            <w:rPr>
              <w:b/>
              <w:sz w:val="28"/>
              <w:szCs w:val="28"/>
            </w:rPr>
            <w:fldChar w:fldCharType="begin"/>
          </w:r>
          <w:r>
            <w:rPr>
              <w:b/>
              <w:sz w:val="28"/>
              <w:szCs w:val="28"/>
            </w:rPr>
            <w:instrText xml:space="preserve"> PAGEREF _Toc5006 </w:instrText>
          </w:r>
          <w:r>
            <w:rPr>
              <w:b/>
              <w:sz w:val="28"/>
              <w:szCs w:val="28"/>
            </w:rPr>
            <w:fldChar w:fldCharType="separate"/>
          </w:r>
          <w:r>
            <w:rPr>
              <w:b/>
              <w:sz w:val="28"/>
              <w:szCs w:val="28"/>
            </w:rPr>
            <w:t>1</w:t>
          </w:r>
          <w:r>
            <w:rPr>
              <w:b/>
              <w:sz w:val="28"/>
              <w:szCs w:val="28"/>
            </w:rPr>
            <w:fldChar w:fldCharType="end"/>
          </w:r>
          <w:r>
            <w:rPr>
              <w:rFonts w:hint="eastAsia" w:ascii="黑体" w:hAnsi="黑体" w:eastAsia="黑体" w:cs="黑体"/>
              <w:b/>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_Toc11165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 </w:t>
          </w:r>
          <w:r>
            <w:rPr>
              <w:rFonts w:hint="eastAsia" w:asciiTheme="minorEastAsia" w:hAnsiTheme="minorEastAsia" w:eastAsiaTheme="minorEastAsia" w:cstheme="minorEastAsia"/>
              <w:bCs/>
              <w:i w:val="0"/>
              <w:iCs w:val="0"/>
              <w:caps w:val="0"/>
              <w:spacing w:val="0"/>
              <w:sz w:val="28"/>
              <w:szCs w:val="44"/>
              <w:shd w:val="clear" w:fill="FFFFFF"/>
            </w:rPr>
            <w:t>一、主要职责</w:t>
          </w:r>
          <w:r>
            <w:rPr>
              <w:sz w:val="28"/>
              <w:szCs w:val="28"/>
            </w:rPr>
            <w:tab/>
          </w:r>
          <w:r>
            <w:rPr>
              <w:sz w:val="28"/>
              <w:szCs w:val="28"/>
            </w:rPr>
            <w:fldChar w:fldCharType="begin"/>
          </w:r>
          <w:r>
            <w:rPr>
              <w:sz w:val="28"/>
              <w:szCs w:val="28"/>
            </w:rPr>
            <w:instrText xml:space="preserve"> PAGEREF _Toc11165 </w:instrText>
          </w:r>
          <w:r>
            <w:rPr>
              <w:sz w:val="28"/>
              <w:szCs w:val="28"/>
            </w:rPr>
            <w:fldChar w:fldCharType="separate"/>
          </w:r>
          <w:r>
            <w:rPr>
              <w:sz w:val="28"/>
              <w:szCs w:val="28"/>
            </w:rPr>
            <w:t>1</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_Toc938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rPr>
            <w:t> 二、</w:t>
          </w:r>
          <w:r>
            <w:rPr>
              <w:rFonts w:hint="eastAsia" w:asciiTheme="minorEastAsia" w:hAnsiTheme="minorEastAsia" w:eastAsiaTheme="minorEastAsia" w:cstheme="minorEastAsia"/>
              <w:bCs/>
              <w:i w:val="0"/>
              <w:iCs w:val="0"/>
              <w:caps w:val="0"/>
              <w:spacing w:val="0"/>
              <w:sz w:val="28"/>
              <w:szCs w:val="44"/>
              <w:shd w:val="clear" w:fill="FFFFFF"/>
              <w:lang w:val="en-US" w:eastAsia="zh-CN"/>
            </w:rPr>
            <w:t>单位</w:t>
          </w:r>
          <w:r>
            <w:rPr>
              <w:rFonts w:hint="eastAsia" w:asciiTheme="minorEastAsia" w:hAnsiTheme="minorEastAsia" w:eastAsiaTheme="minorEastAsia" w:cstheme="minorEastAsia"/>
              <w:bCs/>
              <w:i w:val="0"/>
              <w:iCs w:val="0"/>
              <w:caps w:val="0"/>
              <w:spacing w:val="0"/>
              <w:sz w:val="28"/>
              <w:szCs w:val="44"/>
              <w:shd w:val="clear" w:fill="FFFFFF"/>
            </w:rPr>
            <w:t>构成</w:t>
          </w:r>
          <w:r>
            <w:rPr>
              <w:sz w:val="28"/>
              <w:szCs w:val="28"/>
            </w:rPr>
            <w:tab/>
          </w:r>
          <w:r>
            <w:rPr>
              <w:sz w:val="28"/>
              <w:szCs w:val="28"/>
            </w:rPr>
            <w:fldChar w:fldCharType="begin"/>
          </w:r>
          <w:r>
            <w:rPr>
              <w:sz w:val="28"/>
              <w:szCs w:val="28"/>
            </w:rPr>
            <w:instrText xml:space="preserve"> PAGEREF _Toc938 </w:instrText>
          </w:r>
          <w:r>
            <w:rPr>
              <w:sz w:val="28"/>
              <w:szCs w:val="28"/>
            </w:rPr>
            <w:fldChar w:fldCharType="separate"/>
          </w:r>
          <w:r>
            <w:rPr>
              <w:sz w:val="28"/>
              <w:szCs w:val="28"/>
            </w:rPr>
            <w:t>1</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1"/>
            <w:tabs>
              <w:tab w:val="right" w:leader="dot" w:pos="8845"/>
            </w:tabs>
            <w:rPr>
              <w:b/>
              <w:sz w:val="28"/>
              <w:szCs w:val="28"/>
            </w:rPr>
          </w:pPr>
          <w:r>
            <w:rPr>
              <w:rFonts w:hint="eastAsia" w:ascii="黑体" w:hAnsi="黑体" w:eastAsia="黑体" w:cs="黑体"/>
              <w:b/>
              <w:bCs/>
              <w:i w:val="0"/>
              <w:iCs w:val="0"/>
              <w:caps w:val="0"/>
              <w:color w:val="000000"/>
              <w:spacing w:val="0"/>
              <w:sz w:val="28"/>
              <w:szCs w:val="48"/>
              <w:shd w:val="clear" w:fill="FFFFFF"/>
            </w:rPr>
            <w:fldChar w:fldCharType="begin"/>
          </w:r>
          <w:r>
            <w:rPr>
              <w:rFonts w:hint="eastAsia" w:ascii="黑体" w:hAnsi="黑体" w:eastAsia="黑体" w:cs="黑体"/>
              <w:b/>
              <w:bCs/>
              <w:i w:val="0"/>
              <w:iCs w:val="0"/>
              <w:caps w:val="0"/>
              <w:spacing w:val="0"/>
              <w:sz w:val="28"/>
              <w:szCs w:val="48"/>
              <w:shd w:val="clear" w:fill="FFFFFF"/>
            </w:rPr>
            <w:instrText xml:space="preserve"> HYPERLINK \l _Toc23489 </w:instrText>
          </w:r>
          <w:r>
            <w:rPr>
              <w:rFonts w:hint="eastAsia" w:ascii="黑体" w:hAnsi="黑体" w:eastAsia="黑体" w:cs="黑体"/>
              <w:b/>
              <w:bCs/>
              <w:i w:val="0"/>
              <w:iCs w:val="0"/>
              <w:caps w:val="0"/>
              <w:spacing w:val="0"/>
              <w:sz w:val="28"/>
              <w:szCs w:val="48"/>
              <w:shd w:val="clear" w:fill="FFFFFF"/>
            </w:rPr>
            <w:fldChar w:fldCharType="separate"/>
          </w:r>
          <w:r>
            <w:rPr>
              <w:rFonts w:hint="eastAsia" w:asciiTheme="minorEastAsia" w:hAnsiTheme="minorEastAsia" w:eastAsiaTheme="minorEastAsia" w:cstheme="minorEastAsia"/>
              <w:b/>
              <w:bCs/>
              <w:i w:val="0"/>
              <w:iCs w:val="0"/>
              <w:caps w:val="0"/>
              <w:spacing w:val="0"/>
              <w:sz w:val="28"/>
              <w:szCs w:val="48"/>
              <w:shd w:val="clear" w:fill="FFFFFF"/>
            </w:rPr>
            <w:t>第二部分2022年度部门预算报表</w:t>
          </w:r>
          <w:r>
            <w:rPr>
              <w:b/>
              <w:sz w:val="28"/>
              <w:szCs w:val="28"/>
            </w:rPr>
            <w:tab/>
          </w:r>
          <w:r>
            <w:rPr>
              <w:b/>
              <w:sz w:val="28"/>
              <w:szCs w:val="28"/>
            </w:rPr>
            <w:fldChar w:fldCharType="begin"/>
          </w:r>
          <w:r>
            <w:rPr>
              <w:b/>
              <w:sz w:val="28"/>
              <w:szCs w:val="28"/>
            </w:rPr>
            <w:instrText xml:space="preserve"> PAGEREF _Toc23489 </w:instrText>
          </w:r>
          <w:r>
            <w:rPr>
              <w:b/>
              <w:sz w:val="28"/>
              <w:szCs w:val="28"/>
            </w:rPr>
            <w:fldChar w:fldCharType="separate"/>
          </w:r>
          <w:r>
            <w:rPr>
              <w:b/>
              <w:sz w:val="28"/>
              <w:szCs w:val="28"/>
            </w:rPr>
            <w:t>2</w:t>
          </w:r>
          <w:r>
            <w:rPr>
              <w:b/>
              <w:sz w:val="28"/>
              <w:szCs w:val="28"/>
            </w:rPr>
            <w:fldChar w:fldCharType="end"/>
          </w:r>
          <w:r>
            <w:rPr>
              <w:rFonts w:hint="eastAsia" w:ascii="黑体" w:hAnsi="黑体" w:eastAsia="黑体" w:cs="黑体"/>
              <w:b/>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_Toc12276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一、2022年</w:t>
          </w:r>
          <w:r>
            <w:rPr>
              <w:rFonts w:hint="eastAsia" w:asciiTheme="minorEastAsia" w:hAnsiTheme="minorEastAsia" w:eastAsiaTheme="minorEastAsia" w:cstheme="minorEastAsia"/>
              <w:bCs w:val="0"/>
              <w:i w:val="0"/>
              <w:iCs w:val="0"/>
              <w:caps w:val="0"/>
              <w:spacing w:val="0"/>
              <w:sz w:val="28"/>
              <w:szCs w:val="44"/>
              <w:shd w:val="clear" w:fill="FFFFFF"/>
              <w:lang w:eastAsia="zh-CN"/>
            </w:rPr>
            <w:t>部门</w:t>
          </w:r>
          <w:r>
            <w:rPr>
              <w:rFonts w:hint="eastAsia" w:asciiTheme="minorEastAsia" w:hAnsiTheme="minorEastAsia" w:eastAsiaTheme="minorEastAsia" w:cstheme="minorEastAsia"/>
              <w:bCs w:val="0"/>
              <w:i w:val="0"/>
              <w:iCs w:val="0"/>
              <w:caps w:val="0"/>
              <w:spacing w:val="0"/>
              <w:sz w:val="28"/>
              <w:szCs w:val="44"/>
              <w:shd w:val="clear" w:fill="FFFFFF"/>
            </w:rPr>
            <w:t>预算收支总表</w:t>
          </w:r>
          <w:r>
            <w:rPr>
              <w:sz w:val="28"/>
              <w:szCs w:val="28"/>
            </w:rPr>
            <w:tab/>
          </w:r>
          <w:r>
            <w:rPr>
              <w:sz w:val="28"/>
              <w:szCs w:val="28"/>
            </w:rPr>
            <w:fldChar w:fldCharType="begin"/>
          </w:r>
          <w:r>
            <w:rPr>
              <w:sz w:val="28"/>
              <w:szCs w:val="28"/>
            </w:rPr>
            <w:instrText xml:space="preserve"> PAGEREF _Toc12276 </w:instrText>
          </w:r>
          <w:r>
            <w:rPr>
              <w:sz w:val="28"/>
              <w:szCs w:val="28"/>
            </w:rPr>
            <w:fldChar w:fldCharType="separate"/>
          </w:r>
          <w:r>
            <w:rPr>
              <w:sz w:val="28"/>
              <w:szCs w:val="28"/>
            </w:rPr>
            <w:t>2</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_Toc26212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二、2022年</w:t>
          </w:r>
          <w:r>
            <w:rPr>
              <w:rFonts w:hint="eastAsia" w:asciiTheme="minorEastAsia" w:hAnsiTheme="minorEastAsia" w:eastAsiaTheme="minorEastAsia" w:cstheme="minorEastAsia"/>
              <w:bCs w:val="0"/>
              <w:i w:val="0"/>
              <w:iCs w:val="0"/>
              <w:caps w:val="0"/>
              <w:spacing w:val="0"/>
              <w:sz w:val="28"/>
              <w:szCs w:val="44"/>
              <w:shd w:val="clear" w:fill="FFFFFF"/>
              <w:lang w:eastAsia="zh-CN"/>
            </w:rPr>
            <w:t>部门</w:t>
          </w:r>
          <w:r>
            <w:rPr>
              <w:rFonts w:hint="eastAsia" w:asciiTheme="minorEastAsia" w:hAnsiTheme="minorEastAsia" w:eastAsiaTheme="minorEastAsia" w:cstheme="minorEastAsia"/>
              <w:bCs w:val="0"/>
              <w:i w:val="0"/>
              <w:iCs w:val="0"/>
              <w:caps w:val="0"/>
              <w:spacing w:val="0"/>
              <w:sz w:val="28"/>
              <w:szCs w:val="44"/>
              <w:shd w:val="clear" w:fill="FFFFFF"/>
            </w:rPr>
            <w:t>预算收入总表</w:t>
          </w:r>
          <w:r>
            <w:rPr>
              <w:sz w:val="28"/>
              <w:szCs w:val="28"/>
            </w:rPr>
            <w:tab/>
          </w:r>
          <w:r>
            <w:rPr>
              <w:sz w:val="28"/>
              <w:szCs w:val="28"/>
            </w:rPr>
            <w:fldChar w:fldCharType="begin"/>
          </w:r>
          <w:r>
            <w:rPr>
              <w:sz w:val="28"/>
              <w:szCs w:val="28"/>
            </w:rPr>
            <w:instrText xml:space="preserve"> PAGEREF _Toc26212 </w:instrText>
          </w:r>
          <w:r>
            <w:rPr>
              <w:sz w:val="28"/>
              <w:szCs w:val="28"/>
            </w:rPr>
            <w:fldChar w:fldCharType="separate"/>
          </w:r>
          <w:r>
            <w:rPr>
              <w:sz w:val="28"/>
              <w:szCs w:val="28"/>
            </w:rPr>
            <w:t>3</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_Toc4264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三、2022年</w:t>
          </w:r>
          <w:r>
            <w:rPr>
              <w:rFonts w:hint="eastAsia" w:asciiTheme="minorEastAsia" w:hAnsiTheme="minorEastAsia" w:eastAsiaTheme="minorEastAsia" w:cstheme="minorEastAsia"/>
              <w:bCs w:val="0"/>
              <w:i w:val="0"/>
              <w:iCs w:val="0"/>
              <w:caps w:val="0"/>
              <w:spacing w:val="0"/>
              <w:sz w:val="28"/>
              <w:szCs w:val="44"/>
              <w:shd w:val="clear" w:fill="FFFFFF"/>
              <w:lang w:eastAsia="zh-CN"/>
            </w:rPr>
            <w:t>部门</w:t>
          </w:r>
          <w:r>
            <w:rPr>
              <w:rFonts w:hint="eastAsia" w:asciiTheme="minorEastAsia" w:hAnsiTheme="minorEastAsia" w:eastAsiaTheme="minorEastAsia" w:cstheme="minorEastAsia"/>
              <w:bCs w:val="0"/>
              <w:i w:val="0"/>
              <w:iCs w:val="0"/>
              <w:caps w:val="0"/>
              <w:spacing w:val="0"/>
              <w:sz w:val="28"/>
              <w:szCs w:val="44"/>
              <w:shd w:val="clear" w:fill="FFFFFF"/>
            </w:rPr>
            <w:t>预算支出总表</w:t>
          </w:r>
          <w:r>
            <w:rPr>
              <w:sz w:val="28"/>
              <w:szCs w:val="28"/>
            </w:rPr>
            <w:tab/>
          </w:r>
          <w:r>
            <w:rPr>
              <w:sz w:val="28"/>
              <w:szCs w:val="28"/>
            </w:rPr>
            <w:fldChar w:fldCharType="begin"/>
          </w:r>
          <w:r>
            <w:rPr>
              <w:sz w:val="28"/>
              <w:szCs w:val="28"/>
            </w:rPr>
            <w:instrText xml:space="preserve"> PAGEREF _Toc4264 </w:instrText>
          </w:r>
          <w:r>
            <w:rPr>
              <w:sz w:val="28"/>
              <w:szCs w:val="28"/>
            </w:rPr>
            <w:fldChar w:fldCharType="separate"/>
          </w:r>
          <w:r>
            <w:rPr>
              <w:sz w:val="28"/>
              <w:szCs w:val="28"/>
            </w:rPr>
            <w:t>4</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_Toc13589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四、2022年财政拨款收支总表</w:t>
          </w:r>
          <w:r>
            <w:rPr>
              <w:sz w:val="28"/>
              <w:szCs w:val="28"/>
            </w:rPr>
            <w:tab/>
          </w:r>
          <w:r>
            <w:rPr>
              <w:sz w:val="28"/>
              <w:szCs w:val="28"/>
            </w:rPr>
            <w:fldChar w:fldCharType="begin"/>
          </w:r>
          <w:r>
            <w:rPr>
              <w:sz w:val="28"/>
              <w:szCs w:val="28"/>
            </w:rPr>
            <w:instrText xml:space="preserve"> PAGEREF _Toc13589 </w:instrText>
          </w:r>
          <w:r>
            <w:rPr>
              <w:sz w:val="28"/>
              <w:szCs w:val="28"/>
            </w:rPr>
            <w:fldChar w:fldCharType="separate"/>
          </w:r>
          <w:r>
            <w:rPr>
              <w:sz w:val="28"/>
              <w:szCs w:val="28"/>
            </w:rPr>
            <w:t>5</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_Toc31314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五、2022年一般公共预算支出预算表</w:t>
          </w:r>
          <w:r>
            <w:rPr>
              <w:sz w:val="28"/>
              <w:szCs w:val="28"/>
            </w:rPr>
            <w:tab/>
          </w:r>
          <w:r>
            <w:rPr>
              <w:sz w:val="28"/>
              <w:szCs w:val="28"/>
            </w:rPr>
            <w:fldChar w:fldCharType="begin"/>
          </w:r>
          <w:r>
            <w:rPr>
              <w:sz w:val="28"/>
              <w:szCs w:val="28"/>
            </w:rPr>
            <w:instrText xml:space="preserve"> PAGEREF _Toc31314 </w:instrText>
          </w:r>
          <w:r>
            <w:rPr>
              <w:sz w:val="28"/>
              <w:szCs w:val="28"/>
            </w:rPr>
            <w:fldChar w:fldCharType="separate"/>
          </w:r>
          <w:r>
            <w:rPr>
              <w:sz w:val="28"/>
              <w:szCs w:val="28"/>
            </w:rPr>
            <w:t>6</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_Toc32384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六、2022年一般公共预算安排基本支出分经济科目表</w:t>
          </w:r>
          <w:r>
            <w:rPr>
              <w:sz w:val="28"/>
              <w:szCs w:val="28"/>
            </w:rPr>
            <w:tab/>
          </w:r>
          <w:r>
            <w:rPr>
              <w:sz w:val="28"/>
              <w:szCs w:val="28"/>
            </w:rPr>
            <w:fldChar w:fldCharType="begin"/>
          </w:r>
          <w:r>
            <w:rPr>
              <w:sz w:val="28"/>
              <w:szCs w:val="28"/>
            </w:rPr>
            <w:instrText xml:space="preserve"> PAGEREF _Toc32384 </w:instrText>
          </w:r>
          <w:r>
            <w:rPr>
              <w:sz w:val="28"/>
              <w:szCs w:val="28"/>
            </w:rPr>
            <w:fldChar w:fldCharType="separate"/>
          </w:r>
          <w:r>
            <w:rPr>
              <w:sz w:val="28"/>
              <w:szCs w:val="28"/>
            </w:rPr>
            <w:t>7</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_Toc29690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七、2022年政府性基金预算收入表</w:t>
          </w:r>
          <w:r>
            <w:rPr>
              <w:sz w:val="28"/>
              <w:szCs w:val="28"/>
            </w:rPr>
            <w:tab/>
          </w:r>
          <w:r>
            <w:rPr>
              <w:sz w:val="28"/>
              <w:szCs w:val="28"/>
            </w:rPr>
            <w:fldChar w:fldCharType="begin"/>
          </w:r>
          <w:r>
            <w:rPr>
              <w:sz w:val="28"/>
              <w:szCs w:val="28"/>
            </w:rPr>
            <w:instrText xml:space="preserve"> PAGEREF _Toc29690 </w:instrText>
          </w:r>
          <w:r>
            <w:rPr>
              <w:sz w:val="28"/>
              <w:szCs w:val="28"/>
            </w:rPr>
            <w:fldChar w:fldCharType="separate"/>
          </w:r>
          <w:r>
            <w:rPr>
              <w:sz w:val="28"/>
              <w:szCs w:val="28"/>
            </w:rPr>
            <w:t>7</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_Toc21613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八、2022年政府性基金预算支出表</w:t>
          </w:r>
          <w:r>
            <w:rPr>
              <w:sz w:val="28"/>
              <w:szCs w:val="28"/>
            </w:rPr>
            <w:tab/>
          </w:r>
          <w:r>
            <w:rPr>
              <w:sz w:val="28"/>
              <w:szCs w:val="28"/>
            </w:rPr>
            <w:fldChar w:fldCharType="begin"/>
          </w:r>
          <w:r>
            <w:rPr>
              <w:sz w:val="28"/>
              <w:szCs w:val="28"/>
            </w:rPr>
            <w:instrText xml:space="preserve"> PAGEREF _Toc21613 </w:instrText>
          </w:r>
          <w:r>
            <w:rPr>
              <w:sz w:val="28"/>
              <w:szCs w:val="28"/>
            </w:rPr>
            <w:fldChar w:fldCharType="separate"/>
          </w:r>
          <w:r>
            <w:rPr>
              <w:sz w:val="28"/>
              <w:szCs w:val="28"/>
            </w:rPr>
            <w:t>8</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_Toc23455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九、2022年国有资本经营预算收支预算表</w:t>
          </w:r>
          <w:r>
            <w:rPr>
              <w:sz w:val="28"/>
              <w:szCs w:val="28"/>
            </w:rPr>
            <w:tab/>
          </w:r>
          <w:r>
            <w:rPr>
              <w:sz w:val="28"/>
              <w:szCs w:val="28"/>
            </w:rPr>
            <w:fldChar w:fldCharType="begin"/>
          </w:r>
          <w:r>
            <w:rPr>
              <w:sz w:val="28"/>
              <w:szCs w:val="28"/>
            </w:rPr>
            <w:instrText xml:space="preserve"> PAGEREF _Toc23455 </w:instrText>
          </w:r>
          <w:r>
            <w:rPr>
              <w:sz w:val="28"/>
              <w:szCs w:val="28"/>
            </w:rPr>
            <w:fldChar w:fldCharType="separate"/>
          </w:r>
          <w:r>
            <w:rPr>
              <w:sz w:val="28"/>
              <w:szCs w:val="28"/>
            </w:rPr>
            <w:t>8</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_Toc19155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十、2022年“三公”经费支出表</w:t>
          </w:r>
          <w:r>
            <w:rPr>
              <w:sz w:val="28"/>
              <w:szCs w:val="28"/>
            </w:rPr>
            <w:tab/>
          </w:r>
          <w:r>
            <w:rPr>
              <w:sz w:val="28"/>
              <w:szCs w:val="28"/>
            </w:rPr>
            <w:fldChar w:fldCharType="begin"/>
          </w:r>
          <w:r>
            <w:rPr>
              <w:sz w:val="28"/>
              <w:szCs w:val="28"/>
            </w:rPr>
            <w:instrText xml:space="preserve"> PAGEREF _Toc19155 </w:instrText>
          </w:r>
          <w:r>
            <w:rPr>
              <w:sz w:val="28"/>
              <w:szCs w:val="28"/>
            </w:rPr>
            <w:fldChar w:fldCharType="separate"/>
          </w:r>
          <w:r>
            <w:rPr>
              <w:sz w:val="28"/>
              <w:szCs w:val="28"/>
            </w:rPr>
            <w:t>8</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_Toc13196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十一、2022年机关运行经费预算财政拨款情况表</w:t>
          </w:r>
          <w:r>
            <w:rPr>
              <w:sz w:val="28"/>
              <w:szCs w:val="28"/>
            </w:rPr>
            <w:tab/>
          </w:r>
          <w:r>
            <w:rPr>
              <w:sz w:val="28"/>
              <w:szCs w:val="28"/>
            </w:rPr>
            <w:fldChar w:fldCharType="begin"/>
          </w:r>
          <w:r>
            <w:rPr>
              <w:sz w:val="28"/>
              <w:szCs w:val="28"/>
            </w:rPr>
            <w:instrText xml:space="preserve"> PAGEREF _Toc13196 </w:instrText>
          </w:r>
          <w:r>
            <w:rPr>
              <w:sz w:val="28"/>
              <w:szCs w:val="28"/>
            </w:rPr>
            <w:fldChar w:fldCharType="separate"/>
          </w:r>
          <w:r>
            <w:rPr>
              <w:sz w:val="28"/>
              <w:szCs w:val="28"/>
            </w:rPr>
            <w:t>9</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1"/>
            <w:tabs>
              <w:tab w:val="right" w:leader="dot" w:pos="8845"/>
            </w:tabs>
            <w:rPr>
              <w:b/>
              <w:sz w:val="28"/>
              <w:szCs w:val="28"/>
            </w:rPr>
          </w:pPr>
          <w:r>
            <w:rPr>
              <w:rFonts w:hint="eastAsia" w:ascii="黑体" w:hAnsi="黑体" w:eastAsia="黑体" w:cs="黑体"/>
              <w:b/>
              <w:bCs/>
              <w:i w:val="0"/>
              <w:iCs w:val="0"/>
              <w:caps w:val="0"/>
              <w:color w:val="000000"/>
              <w:spacing w:val="0"/>
              <w:sz w:val="28"/>
              <w:szCs w:val="48"/>
              <w:shd w:val="clear" w:fill="FFFFFF"/>
            </w:rPr>
            <w:fldChar w:fldCharType="begin"/>
          </w:r>
          <w:r>
            <w:rPr>
              <w:rFonts w:hint="eastAsia" w:ascii="黑体" w:hAnsi="黑体" w:eastAsia="黑体" w:cs="黑体"/>
              <w:b/>
              <w:bCs/>
              <w:i w:val="0"/>
              <w:iCs w:val="0"/>
              <w:caps w:val="0"/>
              <w:spacing w:val="0"/>
              <w:sz w:val="28"/>
              <w:szCs w:val="48"/>
              <w:shd w:val="clear" w:fill="FFFFFF"/>
            </w:rPr>
            <w:instrText xml:space="preserve"> HYPERLINK \l _Toc18518 </w:instrText>
          </w:r>
          <w:r>
            <w:rPr>
              <w:rFonts w:hint="eastAsia" w:ascii="黑体" w:hAnsi="黑体" w:eastAsia="黑体" w:cs="黑体"/>
              <w:b/>
              <w:bCs/>
              <w:i w:val="0"/>
              <w:iCs w:val="0"/>
              <w:caps w:val="0"/>
              <w:spacing w:val="0"/>
              <w:sz w:val="28"/>
              <w:szCs w:val="48"/>
              <w:shd w:val="clear" w:fill="FFFFFF"/>
            </w:rPr>
            <w:fldChar w:fldCharType="separate"/>
          </w:r>
          <w:r>
            <w:rPr>
              <w:rFonts w:hint="eastAsia" w:asciiTheme="minorEastAsia" w:hAnsiTheme="minorEastAsia" w:eastAsiaTheme="minorEastAsia" w:cstheme="minorEastAsia"/>
              <w:b/>
              <w:bCs/>
              <w:i w:val="0"/>
              <w:iCs w:val="0"/>
              <w:caps w:val="0"/>
              <w:spacing w:val="0"/>
              <w:sz w:val="28"/>
              <w:szCs w:val="48"/>
              <w:shd w:val="clear" w:fill="FFFFFF"/>
            </w:rPr>
            <w:t>第三部分2022年度部门预算情况说明</w:t>
          </w:r>
          <w:r>
            <w:rPr>
              <w:b/>
              <w:sz w:val="28"/>
              <w:szCs w:val="28"/>
            </w:rPr>
            <w:tab/>
          </w:r>
          <w:r>
            <w:rPr>
              <w:b/>
              <w:sz w:val="28"/>
              <w:szCs w:val="28"/>
            </w:rPr>
            <w:fldChar w:fldCharType="begin"/>
          </w:r>
          <w:r>
            <w:rPr>
              <w:b/>
              <w:sz w:val="28"/>
              <w:szCs w:val="28"/>
            </w:rPr>
            <w:instrText xml:space="preserve"> PAGEREF _Toc18518 </w:instrText>
          </w:r>
          <w:r>
            <w:rPr>
              <w:b/>
              <w:sz w:val="28"/>
              <w:szCs w:val="28"/>
            </w:rPr>
            <w:fldChar w:fldCharType="separate"/>
          </w:r>
          <w:r>
            <w:rPr>
              <w:b/>
              <w:sz w:val="28"/>
              <w:szCs w:val="28"/>
            </w:rPr>
            <w:t>9</w:t>
          </w:r>
          <w:r>
            <w:rPr>
              <w:b/>
              <w:sz w:val="28"/>
              <w:szCs w:val="28"/>
            </w:rPr>
            <w:fldChar w:fldCharType="end"/>
          </w:r>
          <w:r>
            <w:rPr>
              <w:rFonts w:hint="eastAsia" w:ascii="黑体" w:hAnsi="黑体" w:eastAsia="黑体" w:cs="黑体"/>
              <w:b/>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_Toc1864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rPr>
            <w:t>一、202</w:t>
          </w:r>
          <w:r>
            <w:rPr>
              <w:rFonts w:hint="eastAsia" w:asciiTheme="minorEastAsia" w:hAnsiTheme="minorEastAsia" w:eastAsiaTheme="minorEastAsia" w:cstheme="minorEastAsia"/>
              <w:bCs/>
              <w:i w:val="0"/>
              <w:iCs w:val="0"/>
              <w:caps w:val="0"/>
              <w:spacing w:val="0"/>
              <w:sz w:val="28"/>
              <w:szCs w:val="44"/>
              <w:shd w:val="clear" w:fill="FFFFFF"/>
              <w:lang w:val="en-US" w:eastAsia="zh-CN"/>
            </w:rPr>
            <w:t>2</w:t>
          </w:r>
          <w:r>
            <w:rPr>
              <w:rFonts w:hint="eastAsia" w:asciiTheme="minorEastAsia" w:hAnsiTheme="minorEastAsia" w:eastAsiaTheme="minorEastAsia" w:cstheme="minorEastAsia"/>
              <w:bCs/>
              <w:i w:val="0"/>
              <w:iCs w:val="0"/>
              <w:caps w:val="0"/>
              <w:spacing w:val="0"/>
              <w:sz w:val="28"/>
              <w:szCs w:val="44"/>
              <w:shd w:val="clear" w:fill="FFFFFF"/>
            </w:rPr>
            <w:t>年度部门预算收支情况</w:t>
          </w:r>
          <w:r>
            <w:rPr>
              <w:sz w:val="28"/>
              <w:szCs w:val="28"/>
            </w:rPr>
            <w:tab/>
          </w:r>
          <w:r>
            <w:rPr>
              <w:sz w:val="28"/>
              <w:szCs w:val="28"/>
            </w:rPr>
            <w:fldChar w:fldCharType="begin"/>
          </w:r>
          <w:r>
            <w:rPr>
              <w:sz w:val="28"/>
              <w:szCs w:val="28"/>
            </w:rPr>
            <w:instrText xml:space="preserve"> PAGEREF _Toc1864 </w:instrText>
          </w:r>
          <w:r>
            <w:rPr>
              <w:sz w:val="28"/>
              <w:szCs w:val="28"/>
            </w:rPr>
            <w:fldChar w:fldCharType="separate"/>
          </w:r>
          <w:r>
            <w:rPr>
              <w:sz w:val="28"/>
              <w:szCs w:val="28"/>
            </w:rPr>
            <w:t>9</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_Toc21486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rPr>
            <w:t>二、“三公”经费情况</w:t>
          </w:r>
          <w:r>
            <w:rPr>
              <w:sz w:val="28"/>
              <w:szCs w:val="28"/>
            </w:rPr>
            <w:tab/>
          </w:r>
          <w:r>
            <w:rPr>
              <w:sz w:val="28"/>
              <w:szCs w:val="28"/>
            </w:rPr>
            <w:fldChar w:fldCharType="begin"/>
          </w:r>
          <w:r>
            <w:rPr>
              <w:sz w:val="28"/>
              <w:szCs w:val="28"/>
            </w:rPr>
            <w:instrText xml:space="preserve"> PAGEREF _Toc21486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_Toc3388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lang w:val="en-US" w:eastAsia="zh-CN"/>
            </w:rPr>
            <w:t>三</w:t>
          </w:r>
          <w:r>
            <w:rPr>
              <w:rFonts w:hint="eastAsia" w:asciiTheme="minorEastAsia" w:hAnsiTheme="minorEastAsia" w:eastAsiaTheme="minorEastAsia" w:cstheme="minorEastAsia"/>
              <w:bCs/>
              <w:i w:val="0"/>
              <w:iCs w:val="0"/>
              <w:caps w:val="0"/>
              <w:spacing w:val="0"/>
              <w:sz w:val="28"/>
              <w:szCs w:val="44"/>
              <w:shd w:val="clear" w:fill="FFFFFF"/>
            </w:rPr>
            <w:t>、机关运行经费</w:t>
          </w:r>
          <w:r>
            <w:rPr>
              <w:sz w:val="28"/>
              <w:szCs w:val="28"/>
            </w:rPr>
            <w:tab/>
          </w:r>
          <w:r>
            <w:rPr>
              <w:sz w:val="28"/>
              <w:szCs w:val="28"/>
            </w:rPr>
            <w:fldChar w:fldCharType="begin"/>
          </w:r>
          <w:r>
            <w:rPr>
              <w:sz w:val="28"/>
              <w:szCs w:val="28"/>
            </w:rPr>
            <w:instrText xml:space="preserve"> PAGEREF _Toc3388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_Toc4230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lang w:val="en-US" w:eastAsia="zh-CN"/>
            </w:rPr>
            <w:t>四、政府采购预算情况</w:t>
          </w:r>
          <w:r>
            <w:rPr>
              <w:sz w:val="28"/>
              <w:szCs w:val="28"/>
            </w:rPr>
            <w:tab/>
          </w:r>
          <w:r>
            <w:rPr>
              <w:sz w:val="28"/>
              <w:szCs w:val="28"/>
            </w:rPr>
            <w:fldChar w:fldCharType="begin"/>
          </w:r>
          <w:r>
            <w:rPr>
              <w:sz w:val="28"/>
              <w:szCs w:val="28"/>
            </w:rPr>
            <w:instrText xml:space="preserve"> PAGEREF _Toc4230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_Toc4667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lang w:val="en-US" w:eastAsia="zh-CN"/>
            </w:rPr>
            <w:t>五、绩效评价工作情况及评价结果</w:t>
          </w:r>
          <w:r>
            <w:rPr>
              <w:sz w:val="28"/>
              <w:szCs w:val="28"/>
            </w:rPr>
            <w:tab/>
          </w:r>
          <w:r>
            <w:rPr>
              <w:sz w:val="28"/>
              <w:szCs w:val="28"/>
            </w:rPr>
            <w:fldChar w:fldCharType="begin"/>
          </w:r>
          <w:r>
            <w:rPr>
              <w:sz w:val="28"/>
              <w:szCs w:val="28"/>
            </w:rPr>
            <w:instrText xml:space="preserve"> PAGEREF _Toc4667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_Toc24276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lang w:val="en-US" w:eastAsia="zh-CN"/>
            </w:rPr>
            <w:t>六、国有资产占有使用情况</w:t>
          </w:r>
          <w:r>
            <w:rPr>
              <w:sz w:val="28"/>
              <w:szCs w:val="28"/>
            </w:rPr>
            <w:tab/>
          </w:r>
          <w:r>
            <w:rPr>
              <w:sz w:val="28"/>
              <w:szCs w:val="28"/>
            </w:rPr>
            <w:fldChar w:fldCharType="begin"/>
          </w:r>
          <w:r>
            <w:rPr>
              <w:sz w:val="28"/>
              <w:szCs w:val="28"/>
            </w:rPr>
            <w:instrText xml:space="preserve"> PAGEREF _Toc24276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1"/>
            <w:tabs>
              <w:tab w:val="right" w:leader="dot" w:pos="8845"/>
            </w:tabs>
            <w:rPr>
              <w:b/>
              <w:sz w:val="28"/>
              <w:szCs w:val="28"/>
            </w:rPr>
          </w:pPr>
          <w:r>
            <w:rPr>
              <w:rFonts w:hint="eastAsia" w:ascii="黑体" w:hAnsi="黑体" w:eastAsia="黑体" w:cs="黑体"/>
              <w:b/>
              <w:bCs/>
              <w:i w:val="0"/>
              <w:iCs w:val="0"/>
              <w:caps w:val="0"/>
              <w:color w:val="000000"/>
              <w:spacing w:val="0"/>
              <w:sz w:val="28"/>
              <w:szCs w:val="48"/>
              <w:shd w:val="clear" w:fill="FFFFFF"/>
            </w:rPr>
            <w:fldChar w:fldCharType="begin"/>
          </w:r>
          <w:r>
            <w:rPr>
              <w:rFonts w:hint="eastAsia" w:ascii="黑体" w:hAnsi="黑体" w:eastAsia="黑体" w:cs="黑体"/>
              <w:b/>
              <w:bCs/>
              <w:i w:val="0"/>
              <w:iCs w:val="0"/>
              <w:caps w:val="0"/>
              <w:spacing w:val="0"/>
              <w:sz w:val="28"/>
              <w:szCs w:val="48"/>
              <w:shd w:val="clear" w:fill="FFFFFF"/>
            </w:rPr>
            <w:instrText xml:space="preserve"> HYPERLINK \l _Toc26255 </w:instrText>
          </w:r>
          <w:r>
            <w:rPr>
              <w:rFonts w:hint="eastAsia" w:ascii="黑体" w:hAnsi="黑体" w:eastAsia="黑体" w:cs="黑体"/>
              <w:b/>
              <w:bCs/>
              <w:i w:val="0"/>
              <w:iCs w:val="0"/>
              <w:caps w:val="0"/>
              <w:spacing w:val="0"/>
              <w:sz w:val="28"/>
              <w:szCs w:val="48"/>
              <w:shd w:val="clear" w:fill="FFFFFF"/>
            </w:rPr>
            <w:fldChar w:fldCharType="separate"/>
          </w:r>
          <w:r>
            <w:rPr>
              <w:rFonts w:hint="eastAsia" w:asciiTheme="minorEastAsia" w:hAnsiTheme="minorEastAsia" w:eastAsiaTheme="minorEastAsia" w:cstheme="minorEastAsia"/>
              <w:b/>
              <w:bCs/>
              <w:i w:val="0"/>
              <w:iCs w:val="0"/>
              <w:caps w:val="0"/>
              <w:spacing w:val="0"/>
              <w:sz w:val="28"/>
              <w:szCs w:val="48"/>
              <w:shd w:val="clear" w:fill="FFFFFF"/>
            </w:rPr>
            <w:t>第四部分 名词解释</w:t>
          </w:r>
          <w:r>
            <w:rPr>
              <w:b/>
              <w:sz w:val="28"/>
              <w:szCs w:val="28"/>
            </w:rPr>
            <w:tab/>
          </w:r>
          <w:r>
            <w:rPr>
              <w:b/>
              <w:sz w:val="28"/>
              <w:szCs w:val="28"/>
            </w:rPr>
            <w:fldChar w:fldCharType="begin"/>
          </w:r>
          <w:r>
            <w:rPr>
              <w:b/>
              <w:sz w:val="28"/>
              <w:szCs w:val="28"/>
            </w:rPr>
            <w:instrText xml:space="preserve"> PAGEREF _Toc26255 </w:instrText>
          </w:r>
          <w:r>
            <w:rPr>
              <w:b/>
              <w:sz w:val="28"/>
              <w:szCs w:val="28"/>
            </w:rPr>
            <w:fldChar w:fldCharType="separate"/>
          </w:r>
          <w:r>
            <w:rPr>
              <w:b/>
              <w:sz w:val="28"/>
              <w:szCs w:val="28"/>
            </w:rPr>
            <w:t>19</w:t>
          </w:r>
          <w:r>
            <w:rPr>
              <w:b/>
              <w:sz w:val="28"/>
              <w:szCs w:val="28"/>
            </w:rPr>
            <w:fldChar w:fldCharType="end"/>
          </w:r>
          <w:r>
            <w:rPr>
              <w:rFonts w:hint="eastAsia" w:ascii="黑体" w:hAnsi="黑体" w:eastAsia="黑体" w:cs="黑体"/>
              <w:b/>
              <w:bCs/>
              <w:i w:val="0"/>
              <w:iCs w:val="0"/>
              <w:caps w:val="0"/>
              <w:color w:val="000000"/>
              <w:spacing w:val="0"/>
              <w:sz w:val="28"/>
              <w:szCs w:val="48"/>
              <w:shd w:val="clear" w:fill="FFFFFF"/>
            </w:rPr>
            <w:fldChar w:fldCharType="end"/>
          </w:r>
        </w:p>
        <w:p>
          <w:pPr>
            <w:pStyle w:val="5"/>
            <w:bidi w:val="0"/>
            <w:rPr>
              <w:rFonts w:hint="eastAsia"/>
            </w:rPr>
          </w:pPr>
          <w:r>
            <w:rPr>
              <w:rFonts w:hint="eastAsia" w:ascii="黑体" w:hAnsi="黑体" w:eastAsia="黑体" w:cs="黑体"/>
              <w:b/>
              <w:bCs/>
              <w:i w:val="0"/>
              <w:iCs w:val="0"/>
              <w:caps w:val="0"/>
              <w:color w:val="000000"/>
              <w:spacing w:val="0"/>
              <w:sz w:val="40"/>
              <w:szCs w:val="48"/>
              <w:shd w:val="clear" w:fill="FFFFFF"/>
            </w:rPr>
            <w:fldChar w:fldCharType="end"/>
          </w:r>
        </w:p>
      </w:sdtContent>
    </w:sdt>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bookmarkStart w:id="0" w:name="_Toc5006"/>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黑体" w:hAnsi="黑体" w:eastAsia="黑体" w:cs="黑体"/>
          <w:b/>
          <w:bCs/>
          <w:i w:val="0"/>
          <w:iCs w:val="0"/>
          <w:caps w:val="0"/>
          <w:color w:val="000000"/>
          <w:spacing w:val="0"/>
          <w:sz w:val="32"/>
          <w:szCs w:val="32"/>
          <w:shd w:val="clear" w:fill="FFFFFF"/>
        </w:rPr>
        <w:sectPr>
          <w:pgSz w:w="11906" w:h="16838"/>
          <w:pgMar w:top="2098" w:right="1474" w:bottom="1984" w:left="1587" w:header="851" w:footer="992" w:gutter="0"/>
          <w:cols w:space="0" w:num="1"/>
          <w:rtlGutter w:val="0"/>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黑体" w:hAnsi="黑体" w:eastAsia="黑体" w:cs="黑体"/>
          <w:b/>
          <w:bCs/>
          <w:i w:val="0"/>
          <w:iCs w:val="0"/>
          <w:caps w:val="0"/>
          <w:color w:val="000000"/>
          <w:spacing w:val="0"/>
          <w:sz w:val="32"/>
          <w:szCs w:val="32"/>
        </w:rPr>
      </w:pPr>
      <w:r>
        <w:rPr>
          <w:rFonts w:hint="eastAsia" w:ascii="黑体" w:hAnsi="黑体" w:eastAsia="黑体" w:cs="黑体"/>
          <w:b/>
          <w:bCs/>
          <w:i w:val="0"/>
          <w:iCs w:val="0"/>
          <w:caps w:val="0"/>
          <w:color w:val="000000"/>
          <w:spacing w:val="0"/>
          <w:sz w:val="32"/>
          <w:szCs w:val="32"/>
          <w:shd w:val="clear" w:fill="FFFFFF"/>
        </w:rPr>
        <w:t xml:space="preserve">第一部分 </w:t>
      </w:r>
      <w:r>
        <w:rPr>
          <w:rFonts w:hint="eastAsia" w:ascii="黑体" w:hAnsi="黑体" w:eastAsia="黑体" w:cs="黑体"/>
          <w:b/>
          <w:bCs/>
          <w:i w:val="0"/>
          <w:iCs w:val="0"/>
          <w:caps w:val="0"/>
          <w:color w:val="000000"/>
          <w:spacing w:val="0"/>
          <w:sz w:val="32"/>
          <w:szCs w:val="32"/>
          <w:shd w:val="clear" w:fill="FFFFFF"/>
          <w:lang w:val="en-US" w:eastAsia="zh-CN"/>
        </w:rPr>
        <w:t>单位</w:t>
      </w:r>
      <w:r>
        <w:rPr>
          <w:rFonts w:hint="eastAsia" w:ascii="黑体" w:hAnsi="黑体" w:eastAsia="黑体" w:cs="黑体"/>
          <w:b/>
          <w:bCs/>
          <w:i w:val="0"/>
          <w:iCs w:val="0"/>
          <w:caps w:val="0"/>
          <w:color w:val="000000"/>
          <w:spacing w:val="0"/>
          <w:sz w:val="32"/>
          <w:szCs w:val="32"/>
          <w:shd w:val="clear" w:fill="FFFFFF"/>
        </w:rPr>
        <w:t>概况</w:t>
      </w:r>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1"/>
        <w:rPr>
          <w:rFonts w:hint="eastAsia" w:asciiTheme="minorEastAsia" w:hAnsiTheme="minorEastAsia" w:eastAsiaTheme="minorEastAsia" w:cstheme="minorEastAsia"/>
          <w:b/>
          <w:bCs/>
          <w:i w:val="0"/>
          <w:iCs w:val="0"/>
          <w:caps w:val="0"/>
          <w:color w:val="000000"/>
          <w:spacing w:val="0"/>
          <w:sz w:val="24"/>
          <w:szCs w:val="24"/>
        </w:rPr>
      </w:pPr>
      <w:bookmarkStart w:id="1" w:name="_Toc11165"/>
      <w:r>
        <w:rPr>
          <w:rFonts w:hint="eastAsia" w:asciiTheme="minorEastAsia" w:hAnsiTheme="minorEastAsia" w:eastAsiaTheme="minorEastAsia" w:cstheme="minorEastAsia"/>
          <w:b w:val="0"/>
          <w:bCs w:val="0"/>
          <w:i w:val="0"/>
          <w:iCs w:val="0"/>
          <w:caps w:val="0"/>
          <w:color w:val="000000"/>
          <w:spacing w:val="0"/>
          <w:sz w:val="28"/>
          <w:szCs w:val="28"/>
          <w:shd w:val="clear" w:fill="FFFFFF"/>
        </w:rPr>
        <w:t> </w:t>
      </w:r>
      <w:r>
        <w:rPr>
          <w:rFonts w:hint="eastAsia" w:asciiTheme="minorEastAsia" w:hAnsiTheme="minorEastAsia" w:eastAsiaTheme="minorEastAsia" w:cstheme="minorEastAsia"/>
          <w:b/>
          <w:bCs/>
          <w:i w:val="0"/>
          <w:iCs w:val="0"/>
          <w:caps w:val="0"/>
          <w:color w:val="000000"/>
          <w:spacing w:val="0"/>
          <w:sz w:val="28"/>
          <w:szCs w:val="28"/>
          <w:shd w:val="clear" w:fill="FFFFFF"/>
        </w:rPr>
        <w:t> 一、主要职责</w:t>
      </w:r>
      <w:bookmarkEnd w:id="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 </w:t>
      </w:r>
      <w:r>
        <w:rPr>
          <w:rFonts w:hint="eastAsia" w:asciiTheme="minorEastAsia" w:hAnsiTheme="minorEastAsia" w:cstheme="minorEastAsia"/>
          <w:b w:val="0"/>
          <w:bCs w:val="0"/>
          <w:i w:val="0"/>
          <w:iCs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 xml:space="preserve"> </w:t>
      </w:r>
      <w:r>
        <w:rPr>
          <w:rFonts w:hint="eastAsia" w:asciiTheme="minorEastAsia" w:hAnsiTheme="minorEastAsia" w:cstheme="minorEastAsia"/>
          <w:b w:val="0"/>
          <w:bCs w:val="0"/>
          <w:i w:val="0"/>
          <w:iCs w:val="0"/>
          <w:caps w:val="0"/>
          <w:color w:val="000000"/>
          <w:spacing w:val="0"/>
          <w:sz w:val="28"/>
          <w:szCs w:val="28"/>
          <w:shd w:val="clear" w:fill="FFFFFF"/>
          <w:lang w:val="en-US"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一</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负责落实全市院前急救工作。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统筹全市医疗急救资源，实施院前急救调度，照章调度车辆，强化出车单位责任。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 xml:space="preserve">   </w:t>
      </w:r>
      <w:r>
        <w:rPr>
          <w:rFonts w:hint="eastAsia" w:asciiTheme="minorEastAsia" w:hAnsiTheme="minorEastAsia" w:cstheme="minorEastAsia"/>
          <w:b w:val="0"/>
          <w:bCs w:val="0"/>
          <w:i w:val="0"/>
          <w:iCs w:val="0"/>
          <w:caps w:val="0"/>
          <w:color w:val="000000"/>
          <w:spacing w:val="0"/>
          <w:sz w:val="28"/>
          <w:szCs w:val="28"/>
          <w:shd w:val="clear" w:fill="FFFFFF"/>
          <w:lang w:val="en-US"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二</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开展院前急救知识宣传，分重点分行业开展院前急救知识培训。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 xml:space="preserve">   </w:t>
      </w:r>
      <w:r>
        <w:rPr>
          <w:rFonts w:hint="eastAsia" w:asciiTheme="minorEastAsia" w:hAnsiTheme="minorEastAsia" w:cstheme="minorEastAsia"/>
          <w:b w:val="0"/>
          <w:bCs w:val="0"/>
          <w:i w:val="0"/>
          <w:iCs w:val="0"/>
          <w:caps w:val="0"/>
          <w:color w:val="000000"/>
          <w:spacing w:val="0"/>
          <w:sz w:val="28"/>
          <w:szCs w:val="28"/>
          <w:shd w:val="clear" w:fill="FFFFFF"/>
          <w:lang w:val="en-US"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三</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 xml:space="preserve">为重大活动提供医疗救助保障，提供活动安全医疗任务落实。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rPr>
      </w:pPr>
      <w:bookmarkStart w:id="2" w:name="_Toc938"/>
      <w:r>
        <w:rPr>
          <w:rFonts w:hint="eastAsia" w:asciiTheme="minorEastAsia" w:hAnsiTheme="minorEastAsia" w:eastAsiaTheme="minorEastAsia" w:cstheme="minorEastAsia"/>
          <w:b/>
          <w:bCs/>
          <w:i w:val="0"/>
          <w:iCs w:val="0"/>
          <w:caps w:val="0"/>
          <w:color w:val="000000"/>
          <w:spacing w:val="0"/>
          <w:sz w:val="28"/>
          <w:szCs w:val="28"/>
          <w:shd w:val="clear" w:fill="FFFFFF"/>
        </w:rPr>
        <w:t>  二、</w:t>
      </w:r>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单位</w:t>
      </w:r>
      <w:r>
        <w:rPr>
          <w:rFonts w:hint="eastAsia" w:asciiTheme="minorEastAsia" w:hAnsiTheme="minorEastAsia" w:eastAsiaTheme="minorEastAsia" w:cstheme="minorEastAsia"/>
          <w:b/>
          <w:bCs/>
          <w:i w:val="0"/>
          <w:iCs w:val="0"/>
          <w:caps w:val="0"/>
          <w:color w:val="000000"/>
          <w:spacing w:val="0"/>
          <w:sz w:val="28"/>
          <w:szCs w:val="28"/>
          <w:shd w:val="clear" w:fill="FFFFFF"/>
        </w:rPr>
        <w:t>构成</w:t>
      </w:r>
      <w:bookmarkEnd w:id="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大同市紧急医疗救援中心设下列内设机构</w:t>
      </w:r>
      <w:r>
        <w:rPr>
          <w:rFonts w:hint="eastAsia" w:asciiTheme="minorEastAsia" w:hAnsiTheme="minorEastAsia" w:cstheme="minorEastAsia"/>
          <w:b w:val="0"/>
          <w:bCs w:val="0"/>
          <w:i w:val="0"/>
          <w:iCs w:val="0"/>
          <w:caps w:val="0"/>
          <w:color w:val="000000"/>
          <w:spacing w:val="0"/>
          <w:sz w:val="28"/>
          <w:szCs w:val="28"/>
          <w:shd w:val="clear" w:fill="FFFFFF"/>
          <w:lang w:eastAsia="zh-CN"/>
        </w:rPr>
        <w:t>：</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党支部办公室。负责单位党支部与市卫健委的党务联系</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督促落实党的组织活动。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二</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办公室。负责单位日常运转工作</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承担调研、文稿起草和行政后勤管理等工作。负责人事管理，落实各项人事政策。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三</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调度科。负责全市日常急救的呼救受理和120网络急救车辆的调派工作，负责重大突发事件紧急医学救援的协调指挥调度和信息报告工作。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四</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信息化科。负责急救网络的维护，保证急救网络畅通，建设先进的网络系统。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五</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财务科。承担单位预决算、财务和资产管理工作</w:t>
      </w:r>
      <w:r>
        <w:rPr>
          <w:rFonts w:hint="eastAsia" w:asciiTheme="minorEastAsia" w:hAnsiTheme="minorEastAsia" w:cstheme="minorEastAsia"/>
          <w:b w:val="0"/>
          <w:bCs w:val="0"/>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shd w:val="clear" w:fill="FFFFFF"/>
        </w:rPr>
        <w:t>提出医疗急救服务价格政策的建议。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Theme="minorEastAsia" w:hAnsiTheme="minorEastAsia" w:eastAsiaTheme="minorEastAsia" w:cstheme="minorEastAsia"/>
          <w:b/>
          <w:bCs/>
          <w:i w:val="0"/>
          <w:iCs w:val="0"/>
          <w:caps w:val="0"/>
          <w:color w:val="000000"/>
          <w:spacing w:val="0"/>
          <w:sz w:val="32"/>
          <w:szCs w:val="32"/>
          <w:shd w:val="clear" w:fill="FFFFFF"/>
          <w:lang w:eastAsia="zh-CN"/>
        </w:rPr>
      </w:pPr>
      <w:bookmarkStart w:id="3" w:name="_Toc23489"/>
      <w:r>
        <w:rPr>
          <w:rFonts w:hint="eastAsia" w:asciiTheme="minorEastAsia" w:hAnsiTheme="minorEastAsia" w:eastAsiaTheme="minorEastAsia" w:cstheme="minorEastAsia"/>
          <w:b/>
          <w:bCs/>
          <w:i w:val="0"/>
          <w:iCs w:val="0"/>
          <w:caps w:val="0"/>
          <w:color w:val="000000"/>
          <w:spacing w:val="0"/>
          <w:sz w:val="32"/>
          <w:szCs w:val="32"/>
          <w:shd w:val="clear" w:fill="FFFFFF"/>
        </w:rPr>
        <w:t>第二部分2022年度部门预算报表</w:t>
      </w:r>
      <w:bookmarkEnd w:id="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4" w:name="_Toc12276"/>
      <w:r>
        <w:rPr>
          <w:rFonts w:hint="eastAsia" w:asciiTheme="minorEastAsia" w:hAnsiTheme="minorEastAsia" w:eastAsiaTheme="minorEastAsia" w:cstheme="minorEastAsia"/>
          <w:b w:val="0"/>
          <w:bCs w:val="0"/>
          <w:i w:val="0"/>
          <w:iCs w:val="0"/>
          <w:caps w:val="0"/>
          <w:color w:val="000000"/>
          <w:spacing w:val="0"/>
          <w:sz w:val="28"/>
          <w:szCs w:val="28"/>
          <w:shd w:val="clear" w:fill="FFFFFF"/>
        </w:rPr>
        <w:t>一、2022年</w:t>
      </w:r>
      <w:r>
        <w:rPr>
          <w:rFonts w:hint="eastAsia" w:asciiTheme="minorEastAsia" w:hAnsiTheme="minorEastAsia" w:eastAsiaTheme="minorEastAsia" w:cstheme="minorEastAsia"/>
          <w:b w:val="0"/>
          <w:bCs w:val="0"/>
          <w:i w:val="0"/>
          <w:iCs w:val="0"/>
          <w:caps w:val="0"/>
          <w:color w:val="000000"/>
          <w:spacing w:val="0"/>
          <w:sz w:val="28"/>
          <w:szCs w:val="28"/>
          <w:shd w:val="clear" w:fill="FFFFFF"/>
          <w:lang w:eastAsia="zh-CN"/>
        </w:rPr>
        <w:t>部门</w:t>
      </w:r>
      <w:r>
        <w:rPr>
          <w:rFonts w:hint="eastAsia" w:asciiTheme="minorEastAsia" w:hAnsiTheme="minorEastAsia" w:eastAsiaTheme="minorEastAsia" w:cstheme="minorEastAsia"/>
          <w:b w:val="0"/>
          <w:bCs w:val="0"/>
          <w:i w:val="0"/>
          <w:iCs w:val="0"/>
          <w:caps w:val="0"/>
          <w:color w:val="000000"/>
          <w:spacing w:val="0"/>
          <w:sz w:val="28"/>
          <w:szCs w:val="28"/>
          <w:shd w:val="clear" w:fill="FFFFFF"/>
        </w:rPr>
        <w:t>预算收支总表</w:t>
      </w:r>
      <w:bookmarkEnd w:id="4"/>
    </w:p>
    <w:tbl>
      <w:tblPr>
        <w:tblStyle w:val="9"/>
        <w:tblW w:w="4998" w:type="pct"/>
        <w:tblInd w:w="0" w:type="dxa"/>
        <w:shd w:val="clear" w:color="auto" w:fill="auto"/>
        <w:tblLayout w:type="autofit"/>
        <w:tblCellMar>
          <w:top w:w="0" w:type="dxa"/>
          <w:left w:w="0" w:type="dxa"/>
          <w:bottom w:w="0" w:type="dxa"/>
          <w:right w:w="0" w:type="dxa"/>
        </w:tblCellMar>
      </w:tblPr>
      <w:tblGrid>
        <w:gridCol w:w="3630"/>
        <w:gridCol w:w="1081"/>
        <w:gridCol w:w="2487"/>
        <w:gridCol w:w="1673"/>
      </w:tblGrid>
      <w:tr>
        <w:tblPrEx>
          <w:tblCellMar>
            <w:top w:w="0" w:type="dxa"/>
            <w:left w:w="0" w:type="dxa"/>
            <w:bottom w:w="0" w:type="dxa"/>
            <w:right w:w="0" w:type="dxa"/>
          </w:tblCellMar>
        </w:tblPrEx>
        <w:trPr>
          <w:trHeight w:val="300" w:hRule="atLeast"/>
        </w:trPr>
        <w:tc>
          <w:tcPr>
            <w:tcW w:w="1742"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03"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w:t>
            </w:r>
          </w:p>
        </w:tc>
      </w:tr>
      <w:tr>
        <w:tblPrEx>
          <w:tblCellMar>
            <w:top w:w="0" w:type="dxa"/>
            <w:left w:w="0" w:type="dxa"/>
            <w:bottom w:w="0" w:type="dxa"/>
            <w:right w:w="0" w:type="dxa"/>
          </w:tblCellMar>
        </w:tblPrEx>
        <w:trPr>
          <w:trHeight w:val="750" w:hRule="atLeast"/>
        </w:trPr>
        <w:tc>
          <w:tcPr>
            <w:tcW w:w="5000"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2022年预算收支总表</w:t>
            </w:r>
          </w:p>
        </w:tc>
      </w:tr>
      <w:tr>
        <w:tblPrEx>
          <w:tblCellMar>
            <w:top w:w="0" w:type="dxa"/>
            <w:left w:w="0" w:type="dxa"/>
            <w:bottom w:w="0" w:type="dxa"/>
            <w:right w:w="0" w:type="dxa"/>
          </w:tblCellMar>
        </w:tblPrEx>
        <w:trPr>
          <w:trHeight w:val="300" w:hRule="atLeast"/>
        </w:trPr>
        <w:tc>
          <w:tcPr>
            <w:tcW w:w="1742"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部门：[118032]大同市紧急医疗救援中心</w:t>
            </w:r>
          </w:p>
        </w:tc>
        <w:tc>
          <w:tcPr>
            <w:tcW w:w="71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03"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24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54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四、财政专户管理资金</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五、单位资金</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248.23</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5" w:name="_Toc26212"/>
      <w:r>
        <w:rPr>
          <w:rFonts w:hint="eastAsia" w:asciiTheme="minorEastAsia" w:hAnsiTheme="minorEastAsia" w:eastAsiaTheme="minorEastAsia" w:cstheme="minorEastAsia"/>
          <w:b w:val="0"/>
          <w:bCs w:val="0"/>
          <w:i w:val="0"/>
          <w:iCs w:val="0"/>
          <w:caps w:val="0"/>
          <w:color w:val="000000"/>
          <w:spacing w:val="0"/>
          <w:sz w:val="28"/>
          <w:szCs w:val="28"/>
          <w:shd w:val="clear" w:fill="FFFFFF"/>
        </w:rPr>
        <w:t>二、2022年</w:t>
      </w:r>
      <w:r>
        <w:rPr>
          <w:rFonts w:hint="eastAsia" w:asciiTheme="minorEastAsia" w:hAnsiTheme="minorEastAsia" w:eastAsiaTheme="minorEastAsia" w:cstheme="minorEastAsia"/>
          <w:b w:val="0"/>
          <w:bCs w:val="0"/>
          <w:i w:val="0"/>
          <w:iCs w:val="0"/>
          <w:caps w:val="0"/>
          <w:color w:val="000000"/>
          <w:spacing w:val="0"/>
          <w:sz w:val="28"/>
          <w:szCs w:val="28"/>
          <w:shd w:val="clear" w:fill="FFFFFF"/>
          <w:lang w:eastAsia="zh-CN"/>
        </w:rPr>
        <w:t>部门</w:t>
      </w:r>
      <w:r>
        <w:rPr>
          <w:rFonts w:hint="eastAsia" w:asciiTheme="minorEastAsia" w:hAnsiTheme="minorEastAsia" w:eastAsiaTheme="minorEastAsia" w:cstheme="minorEastAsia"/>
          <w:b w:val="0"/>
          <w:bCs w:val="0"/>
          <w:i w:val="0"/>
          <w:iCs w:val="0"/>
          <w:caps w:val="0"/>
          <w:color w:val="000000"/>
          <w:spacing w:val="0"/>
          <w:sz w:val="28"/>
          <w:szCs w:val="28"/>
          <w:shd w:val="clear" w:fill="FFFFFF"/>
        </w:rPr>
        <w:t>预算收入总表</w:t>
      </w:r>
      <w:bookmarkEnd w:id="5"/>
    </w:p>
    <w:tbl>
      <w:tblPr>
        <w:tblStyle w:val="9"/>
        <w:tblW w:w="4997" w:type="pct"/>
        <w:tblInd w:w="0" w:type="dxa"/>
        <w:shd w:val="clear" w:color="auto" w:fill="auto"/>
        <w:tblLayout w:type="fixed"/>
        <w:tblCellMar>
          <w:top w:w="0" w:type="dxa"/>
          <w:left w:w="0" w:type="dxa"/>
          <w:bottom w:w="0" w:type="dxa"/>
          <w:right w:w="0" w:type="dxa"/>
        </w:tblCellMar>
      </w:tblPr>
      <w:tblGrid>
        <w:gridCol w:w="1128"/>
        <w:gridCol w:w="2128"/>
        <w:gridCol w:w="1515"/>
        <w:gridCol w:w="1440"/>
        <w:gridCol w:w="795"/>
        <w:gridCol w:w="675"/>
        <w:gridCol w:w="600"/>
        <w:gridCol w:w="589"/>
      </w:tblGrid>
      <w:tr>
        <w:tblPrEx>
          <w:shd w:val="clear" w:color="auto" w:fill="auto"/>
          <w:tblCellMar>
            <w:top w:w="0" w:type="dxa"/>
            <w:left w:w="0" w:type="dxa"/>
            <w:bottom w:w="0" w:type="dxa"/>
            <w:right w:w="0" w:type="dxa"/>
          </w:tblCellMar>
        </w:tblPrEx>
        <w:trPr>
          <w:trHeight w:val="300" w:hRule="atLeast"/>
        </w:trPr>
        <w:tc>
          <w:tcPr>
            <w:tcW w:w="6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预算公开表2</w:t>
            </w:r>
          </w:p>
        </w:tc>
      </w:tr>
      <w:tr>
        <w:tblPrEx>
          <w:shd w:val="clear" w:color="auto" w:fill="auto"/>
          <w:tblCellMar>
            <w:top w:w="0" w:type="dxa"/>
            <w:left w:w="0" w:type="dxa"/>
            <w:bottom w:w="0" w:type="dxa"/>
            <w:right w:w="0" w:type="dxa"/>
          </w:tblCellMar>
        </w:tblPrEx>
        <w:trPr>
          <w:trHeight w:val="75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2022年预算收入总表</w:t>
            </w:r>
          </w:p>
        </w:tc>
      </w:tr>
      <w:tr>
        <w:tblPrEx>
          <w:shd w:val="clear" w:color="auto" w:fill="auto"/>
          <w:tblCellMar>
            <w:top w:w="0" w:type="dxa"/>
            <w:left w:w="0" w:type="dxa"/>
            <w:bottom w:w="0" w:type="dxa"/>
            <w:right w:w="0" w:type="dxa"/>
          </w:tblCellMar>
        </w:tblPrEx>
        <w:trPr>
          <w:trHeight w:val="375" w:hRule="atLeast"/>
        </w:trPr>
        <w:tc>
          <w:tcPr>
            <w:tcW w:w="6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75" w:hRule="atLeast"/>
        </w:trPr>
        <w:tc>
          <w:tcPr>
            <w:tcW w:w="18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164"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shd w:val="clear" w:color="auto" w:fill="auto"/>
          <w:tblCellMar>
            <w:top w:w="0" w:type="dxa"/>
            <w:left w:w="0" w:type="dxa"/>
            <w:bottom w:w="0" w:type="dxa"/>
            <w:right w:w="0" w:type="dxa"/>
          </w:tblCellMar>
        </w:tblPrEx>
        <w:trPr>
          <w:trHeight w:val="52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功能科目编码</w:t>
            </w:r>
          </w:p>
        </w:tc>
        <w:tc>
          <w:tcPr>
            <w:tcW w:w="1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功能科目名称</w:t>
            </w:r>
          </w:p>
        </w:tc>
        <w:tc>
          <w:tcPr>
            <w:tcW w:w="8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4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w:t>
            </w: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270.57</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270.57</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[2080502]事业单位离退休</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[2080506]机关事业单位职业年金缴费支出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248.23</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248.23</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21004</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[21004]公共卫生</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245.41</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245.41</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[2100405]应急救治机构</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245.41</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245.41</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[2101102]事业单位医疗</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[2210201]住房公积金</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[2210202]提租补贴</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6" w:name="_Toc4264"/>
      <w:r>
        <w:rPr>
          <w:rFonts w:hint="eastAsia" w:asciiTheme="minorEastAsia" w:hAnsiTheme="minorEastAsia" w:eastAsiaTheme="minorEastAsia" w:cstheme="minorEastAsia"/>
          <w:b w:val="0"/>
          <w:bCs w:val="0"/>
          <w:i w:val="0"/>
          <w:iCs w:val="0"/>
          <w:caps w:val="0"/>
          <w:color w:val="000000"/>
          <w:spacing w:val="0"/>
          <w:sz w:val="28"/>
          <w:szCs w:val="28"/>
          <w:shd w:val="clear" w:fill="FFFFFF"/>
        </w:rPr>
        <w:t>三、2022年</w:t>
      </w:r>
      <w:r>
        <w:rPr>
          <w:rFonts w:hint="eastAsia" w:asciiTheme="minorEastAsia" w:hAnsiTheme="minorEastAsia" w:eastAsiaTheme="minorEastAsia" w:cstheme="minorEastAsia"/>
          <w:b w:val="0"/>
          <w:bCs w:val="0"/>
          <w:i w:val="0"/>
          <w:iCs w:val="0"/>
          <w:caps w:val="0"/>
          <w:color w:val="000000"/>
          <w:spacing w:val="0"/>
          <w:sz w:val="28"/>
          <w:szCs w:val="28"/>
          <w:shd w:val="clear" w:fill="FFFFFF"/>
          <w:lang w:eastAsia="zh-CN"/>
        </w:rPr>
        <w:t>部门</w:t>
      </w:r>
      <w:r>
        <w:rPr>
          <w:rFonts w:hint="eastAsia" w:asciiTheme="minorEastAsia" w:hAnsiTheme="minorEastAsia" w:eastAsiaTheme="minorEastAsia" w:cstheme="minorEastAsia"/>
          <w:b w:val="0"/>
          <w:bCs w:val="0"/>
          <w:i w:val="0"/>
          <w:iCs w:val="0"/>
          <w:caps w:val="0"/>
          <w:color w:val="000000"/>
          <w:spacing w:val="0"/>
          <w:sz w:val="28"/>
          <w:szCs w:val="28"/>
          <w:shd w:val="clear" w:fill="FFFFFF"/>
        </w:rPr>
        <w:t>预算支出总表</w:t>
      </w:r>
      <w:bookmarkEnd w:id="6"/>
    </w:p>
    <w:tbl>
      <w:tblPr>
        <w:tblStyle w:val="9"/>
        <w:tblW w:w="4997" w:type="pct"/>
        <w:tblInd w:w="0" w:type="dxa"/>
        <w:shd w:val="clear" w:color="auto" w:fill="auto"/>
        <w:tblLayout w:type="fixed"/>
        <w:tblCellMar>
          <w:top w:w="0" w:type="dxa"/>
          <w:left w:w="0" w:type="dxa"/>
          <w:bottom w:w="0" w:type="dxa"/>
          <w:right w:w="0" w:type="dxa"/>
        </w:tblCellMar>
      </w:tblPr>
      <w:tblGrid>
        <w:gridCol w:w="1128"/>
        <w:gridCol w:w="4648"/>
        <w:gridCol w:w="990"/>
        <w:gridCol w:w="919"/>
        <w:gridCol w:w="1185"/>
      </w:tblGrid>
      <w:tr>
        <w:tblPrEx>
          <w:tblCellMar>
            <w:top w:w="0" w:type="dxa"/>
            <w:left w:w="0" w:type="dxa"/>
            <w:bottom w:w="0" w:type="dxa"/>
            <w:right w:w="0" w:type="dxa"/>
          </w:tblCellMar>
        </w:tblPrEx>
        <w:trPr>
          <w:trHeight w:val="300" w:hRule="atLeast"/>
        </w:trPr>
        <w:tc>
          <w:tcPr>
            <w:tcW w:w="6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预算公开表3</w:t>
            </w:r>
          </w:p>
        </w:tc>
      </w:tr>
      <w:tr>
        <w:tblPrEx>
          <w:tblCellMar>
            <w:top w:w="0" w:type="dxa"/>
            <w:left w:w="0" w:type="dxa"/>
            <w:bottom w:w="0" w:type="dxa"/>
            <w:right w:w="0" w:type="dxa"/>
          </w:tblCellMar>
        </w:tblPrEx>
        <w:trPr>
          <w:trHeight w:val="75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2022年预算支出总表</w:t>
            </w:r>
          </w:p>
        </w:tc>
      </w:tr>
      <w:tr>
        <w:tblPrEx>
          <w:tblCellMar>
            <w:top w:w="0" w:type="dxa"/>
            <w:left w:w="0" w:type="dxa"/>
            <w:bottom w:w="0" w:type="dxa"/>
            <w:right w:w="0" w:type="dxa"/>
          </w:tblCellMar>
        </w:tblPrEx>
        <w:trPr>
          <w:trHeight w:val="375" w:hRule="atLeast"/>
        </w:trPr>
        <w:tc>
          <w:tcPr>
            <w:tcW w:w="6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32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4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270.57</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106.07</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[2080502]事业单位离退休</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[2080506]机关事业单位职业年金缴费支出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248.23</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83.73</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[21004]公共卫生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245.41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80.91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[2100405]应急救治机构</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[2101102]事业单位医疗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[2210201]住房公积金</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[2210202]提租补贴</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7" w:name="_Toc13589"/>
      <w:r>
        <w:rPr>
          <w:rFonts w:hint="eastAsia" w:asciiTheme="minorEastAsia" w:hAnsiTheme="minorEastAsia" w:eastAsiaTheme="minorEastAsia" w:cstheme="minorEastAsia"/>
          <w:b w:val="0"/>
          <w:bCs w:val="0"/>
          <w:i w:val="0"/>
          <w:iCs w:val="0"/>
          <w:caps w:val="0"/>
          <w:color w:val="000000"/>
          <w:spacing w:val="0"/>
          <w:sz w:val="28"/>
          <w:szCs w:val="28"/>
          <w:shd w:val="clear" w:fill="FFFFFF"/>
        </w:rPr>
        <w:t>四、2022年财政拨款收支总表</w:t>
      </w:r>
      <w:bookmarkEnd w:id="7"/>
    </w:p>
    <w:tbl>
      <w:tblPr>
        <w:tblStyle w:val="9"/>
        <w:tblW w:w="4998" w:type="pct"/>
        <w:tblInd w:w="0" w:type="dxa"/>
        <w:shd w:val="clear" w:color="auto" w:fill="auto"/>
        <w:tblLayout w:type="autofit"/>
        <w:tblCellMar>
          <w:top w:w="0" w:type="dxa"/>
          <w:left w:w="0" w:type="dxa"/>
          <w:bottom w:w="0" w:type="dxa"/>
          <w:right w:w="0" w:type="dxa"/>
        </w:tblCellMar>
      </w:tblPr>
      <w:tblGrid>
        <w:gridCol w:w="2030"/>
        <w:gridCol w:w="951"/>
        <w:gridCol w:w="2230"/>
        <w:gridCol w:w="697"/>
        <w:gridCol w:w="1100"/>
        <w:gridCol w:w="668"/>
        <w:gridCol w:w="1195"/>
      </w:tblGrid>
      <w:tr>
        <w:tblPrEx>
          <w:shd w:val="clear" w:color="auto" w:fill="auto"/>
          <w:tblCellMar>
            <w:top w:w="0" w:type="dxa"/>
            <w:left w:w="0" w:type="dxa"/>
            <w:bottom w:w="0" w:type="dxa"/>
            <w:right w:w="0" w:type="dxa"/>
          </w:tblCellMar>
        </w:tblPrEx>
        <w:trPr>
          <w:trHeight w:val="300" w:hRule="atLeast"/>
        </w:trPr>
        <w:tc>
          <w:tcPr>
            <w:tcW w:w="107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6"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2" w:type="pct"/>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预算公开表4</w:t>
            </w:r>
          </w:p>
        </w:tc>
      </w:tr>
      <w:tr>
        <w:tblPrEx>
          <w:shd w:val="clear" w:color="auto" w:fill="auto"/>
          <w:tblCellMar>
            <w:top w:w="0" w:type="dxa"/>
            <w:left w:w="0" w:type="dxa"/>
            <w:bottom w:w="0" w:type="dxa"/>
            <w:right w:w="0" w:type="dxa"/>
          </w:tblCellMar>
        </w:tblPrEx>
        <w:trPr>
          <w:trHeight w:val="75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2022年财政拨款收支总表</w:t>
            </w:r>
          </w:p>
        </w:tc>
      </w:tr>
      <w:tr>
        <w:tblPrEx>
          <w:shd w:val="clear" w:color="auto" w:fill="auto"/>
          <w:tblCellMar>
            <w:top w:w="0" w:type="dxa"/>
            <w:left w:w="0" w:type="dxa"/>
            <w:bottom w:w="0" w:type="dxa"/>
            <w:right w:w="0" w:type="dxa"/>
          </w:tblCellMar>
        </w:tblPrEx>
        <w:trPr>
          <w:trHeight w:val="300" w:hRule="atLeast"/>
        </w:trPr>
        <w:tc>
          <w:tcPr>
            <w:tcW w:w="107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6"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2" w:type="pct"/>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75" w:hRule="atLeast"/>
        </w:trPr>
        <w:tc>
          <w:tcPr>
            <w:tcW w:w="16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3367"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trHeight w:val="375" w:hRule="atLeast"/>
        </w:trPr>
        <w:tc>
          <w:tcPr>
            <w:tcW w:w="107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20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shd w:val="clear" w:color="auto" w:fill="auto"/>
          <w:tblCellMar>
            <w:top w:w="0" w:type="dxa"/>
            <w:left w:w="0" w:type="dxa"/>
            <w:bottom w:w="0" w:type="dxa"/>
            <w:right w:w="0" w:type="dxa"/>
          </w:tblCellMar>
        </w:tblPrEx>
        <w:trPr>
          <w:trHeight w:val="660" w:hRule="atLeast"/>
        </w:trPr>
        <w:tc>
          <w:tcPr>
            <w:tcW w:w="107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248.23</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248.23</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8" w:name="_Toc31314"/>
      <w:r>
        <w:rPr>
          <w:rFonts w:hint="eastAsia" w:asciiTheme="minorEastAsia" w:hAnsiTheme="minorEastAsia" w:eastAsiaTheme="minorEastAsia" w:cstheme="minorEastAsia"/>
          <w:b w:val="0"/>
          <w:bCs w:val="0"/>
          <w:i w:val="0"/>
          <w:iCs w:val="0"/>
          <w:caps w:val="0"/>
          <w:color w:val="000000"/>
          <w:spacing w:val="0"/>
          <w:sz w:val="28"/>
          <w:szCs w:val="28"/>
          <w:shd w:val="clear" w:fill="FFFFFF"/>
        </w:rPr>
        <w:t>五、2022年一般公共预算支出预算表</w:t>
      </w:r>
      <w:bookmarkEnd w:id="8"/>
    </w:p>
    <w:tbl>
      <w:tblPr>
        <w:tblStyle w:val="9"/>
        <w:tblW w:w="5000" w:type="pct"/>
        <w:tblInd w:w="0" w:type="dxa"/>
        <w:shd w:val="clear" w:color="auto" w:fill="auto"/>
        <w:tblLayout w:type="fixed"/>
        <w:tblCellMar>
          <w:top w:w="0" w:type="dxa"/>
          <w:left w:w="0" w:type="dxa"/>
          <w:bottom w:w="0" w:type="dxa"/>
          <w:right w:w="0" w:type="dxa"/>
        </w:tblCellMar>
      </w:tblPr>
      <w:tblGrid>
        <w:gridCol w:w="2730"/>
        <w:gridCol w:w="3151"/>
        <w:gridCol w:w="1095"/>
        <w:gridCol w:w="960"/>
        <w:gridCol w:w="939"/>
      </w:tblGrid>
      <w:tr>
        <w:tblPrEx>
          <w:tblCellMar>
            <w:top w:w="0" w:type="dxa"/>
            <w:left w:w="0" w:type="dxa"/>
            <w:bottom w:w="0" w:type="dxa"/>
            <w:right w:w="0" w:type="dxa"/>
          </w:tblCellMar>
        </w:tblPrEx>
        <w:trPr>
          <w:trHeight w:val="300" w:hRule="atLeast"/>
        </w:trPr>
        <w:tc>
          <w:tcPr>
            <w:tcW w:w="15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9"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预算公开表5</w:t>
            </w:r>
          </w:p>
        </w:tc>
      </w:tr>
      <w:tr>
        <w:tblPrEx>
          <w:tblCellMar>
            <w:top w:w="0" w:type="dxa"/>
            <w:left w:w="0" w:type="dxa"/>
            <w:bottom w:w="0" w:type="dxa"/>
            <w:right w:w="0" w:type="dxa"/>
          </w:tblCellMar>
        </w:tblPrEx>
        <w:trPr>
          <w:trHeight w:val="75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2022年一般公共预算支出预算表</w:t>
            </w:r>
          </w:p>
        </w:tc>
      </w:tr>
      <w:tr>
        <w:tblPrEx>
          <w:tblCellMar>
            <w:top w:w="0" w:type="dxa"/>
            <w:left w:w="0" w:type="dxa"/>
            <w:bottom w:w="0" w:type="dxa"/>
            <w:right w:w="0" w:type="dxa"/>
          </w:tblCellMar>
        </w:tblPrEx>
        <w:trPr>
          <w:trHeight w:val="375" w:hRule="atLeast"/>
        </w:trPr>
        <w:tc>
          <w:tcPr>
            <w:tcW w:w="153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部门：[118032]大同市紧急医疗救援中心</w:t>
            </w:r>
          </w:p>
        </w:tc>
        <w:tc>
          <w:tcPr>
            <w:tcW w:w="177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9"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331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8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2022年预算数</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270.57</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106.07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[2080502]事业单位离退休</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[2080505]机关事业单位基本养老保险缴费支出</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[2080506]机关事业单位职业年金缴费支出</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248.23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83.73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[21004]公共卫生</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245.41</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80.91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[2100405]应急救治机构</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245.41</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[2101102]事业单位医疗</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[2210201]住房公积金</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[2210202]提租补贴</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9" w:name="_Toc32384"/>
      <w:r>
        <w:rPr>
          <w:rFonts w:hint="eastAsia" w:asciiTheme="minorEastAsia" w:hAnsiTheme="minorEastAsia" w:eastAsiaTheme="minorEastAsia" w:cstheme="minorEastAsia"/>
          <w:b w:val="0"/>
          <w:bCs w:val="0"/>
          <w:i w:val="0"/>
          <w:iCs w:val="0"/>
          <w:caps w:val="0"/>
          <w:color w:val="000000"/>
          <w:spacing w:val="0"/>
          <w:sz w:val="28"/>
          <w:szCs w:val="28"/>
          <w:shd w:val="clear" w:fill="FFFFFF"/>
        </w:rPr>
        <w:t>六、2022年一般公共预算安排基本支出分经济科目表</w:t>
      </w:r>
      <w:bookmarkEnd w:id="9"/>
    </w:p>
    <w:tbl>
      <w:tblPr>
        <w:tblStyle w:val="9"/>
        <w:tblW w:w="4998" w:type="pct"/>
        <w:tblInd w:w="0" w:type="dxa"/>
        <w:shd w:val="clear" w:color="auto" w:fill="auto"/>
        <w:tblLayout w:type="autofit"/>
        <w:tblCellMar>
          <w:top w:w="0" w:type="dxa"/>
          <w:left w:w="0" w:type="dxa"/>
          <w:bottom w:w="0" w:type="dxa"/>
          <w:right w:w="0" w:type="dxa"/>
        </w:tblCellMar>
      </w:tblPr>
      <w:tblGrid>
        <w:gridCol w:w="3378"/>
        <w:gridCol w:w="2768"/>
        <w:gridCol w:w="2725"/>
      </w:tblGrid>
      <w:tr>
        <w:tblPrEx>
          <w:tblCellMar>
            <w:top w:w="0" w:type="dxa"/>
            <w:left w:w="0" w:type="dxa"/>
            <w:bottom w:w="0" w:type="dxa"/>
            <w:right w:w="0" w:type="dxa"/>
          </w:tblCellMar>
        </w:tblPrEx>
        <w:trPr>
          <w:trHeight w:val="300" w:hRule="atLeast"/>
        </w:trPr>
        <w:tc>
          <w:tcPr>
            <w:tcW w:w="190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预算公开表6</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一般公共预算安排基本支出分经济科目表</w:t>
            </w:r>
          </w:p>
        </w:tc>
      </w:tr>
      <w:tr>
        <w:tblPrEx>
          <w:tblCellMar>
            <w:top w:w="0" w:type="dxa"/>
            <w:left w:w="0" w:type="dxa"/>
            <w:bottom w:w="0" w:type="dxa"/>
            <w:right w:w="0" w:type="dxa"/>
          </w:tblCellMar>
        </w:tblPrEx>
        <w:trPr>
          <w:trHeight w:val="300" w:hRule="atLeast"/>
        </w:trPr>
        <w:tc>
          <w:tcPr>
            <w:tcW w:w="190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经济科目名称</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106.07</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99.56</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[50501]工资福利支出</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99.56</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50502</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5.27</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[5050203]公务用车运行维护费</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[5050299]商品和服务支出</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509</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[50901]社会福利和救助</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0.06</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[50905]离退休费</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0" w:name="_Toc29690"/>
      <w:r>
        <w:rPr>
          <w:rFonts w:hint="eastAsia" w:asciiTheme="minorEastAsia" w:hAnsiTheme="minorEastAsia" w:eastAsiaTheme="minorEastAsia" w:cstheme="minorEastAsia"/>
          <w:b w:val="0"/>
          <w:bCs w:val="0"/>
          <w:i w:val="0"/>
          <w:iCs w:val="0"/>
          <w:caps w:val="0"/>
          <w:color w:val="000000"/>
          <w:spacing w:val="0"/>
          <w:sz w:val="28"/>
          <w:szCs w:val="28"/>
          <w:shd w:val="clear" w:fill="FFFFFF"/>
        </w:rPr>
        <w:t>七、2022年政府性基金预算收入表</w:t>
      </w:r>
      <w:bookmarkEnd w:id="10"/>
    </w:p>
    <w:tbl>
      <w:tblPr>
        <w:tblStyle w:val="9"/>
        <w:tblW w:w="4999" w:type="pct"/>
        <w:tblInd w:w="0" w:type="dxa"/>
        <w:shd w:val="clear" w:color="auto" w:fill="auto"/>
        <w:tblLayout w:type="autofit"/>
        <w:tblCellMar>
          <w:top w:w="0" w:type="dxa"/>
          <w:left w:w="0" w:type="dxa"/>
          <w:bottom w:w="0" w:type="dxa"/>
          <w:right w:w="0" w:type="dxa"/>
        </w:tblCellMar>
      </w:tblPr>
      <w:tblGrid>
        <w:gridCol w:w="2252"/>
        <w:gridCol w:w="3693"/>
        <w:gridCol w:w="2928"/>
      </w:tblGrid>
      <w:tr>
        <w:tblPrEx>
          <w:tblCellMar>
            <w:top w:w="0" w:type="dxa"/>
            <w:left w:w="0" w:type="dxa"/>
            <w:bottom w:w="0" w:type="dxa"/>
            <w:right w:w="0" w:type="dxa"/>
          </w:tblCellMar>
        </w:tblPrEx>
        <w:trPr>
          <w:trHeight w:val="300" w:hRule="atLeast"/>
        </w:trPr>
        <w:tc>
          <w:tcPr>
            <w:tcW w:w="126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预算公开表7</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2022年政府性基金预算收入表</w:t>
            </w:r>
          </w:p>
        </w:tc>
      </w:tr>
      <w:tr>
        <w:tblPrEx>
          <w:tblCellMar>
            <w:top w:w="0" w:type="dxa"/>
            <w:left w:w="0" w:type="dxa"/>
            <w:bottom w:w="0" w:type="dxa"/>
            <w:right w:w="0" w:type="dxa"/>
          </w:tblCellMar>
        </w:tblPrEx>
        <w:trPr>
          <w:trHeight w:val="300" w:hRule="atLeast"/>
        </w:trPr>
        <w:tc>
          <w:tcPr>
            <w:tcW w:w="126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335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政府性基金收入预算</w:t>
            </w:r>
          </w:p>
        </w:tc>
      </w:tr>
      <w:tr>
        <w:tblPrEx>
          <w:tblCellMar>
            <w:top w:w="0" w:type="dxa"/>
            <w:left w:w="0" w:type="dxa"/>
            <w:bottom w:w="0" w:type="dxa"/>
            <w:right w:w="0"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3"/>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1" w:name="_Toc21613"/>
      <w:r>
        <w:rPr>
          <w:rFonts w:hint="eastAsia" w:ascii="仿宋_GB2312" w:hAnsi="楷体" w:eastAsia="仿宋_GB2312" w:cs="Times New Roman"/>
          <w:bCs w:val="0"/>
          <w:kern w:val="2"/>
          <w:sz w:val="32"/>
          <w:szCs w:val="32"/>
          <w:lang w:val="en-US" w:eastAsia="zh-CN" w:bidi="ar-SA"/>
        </w:rPr>
        <w:t>说明：本单位政府性基金预算收入为零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八、2022年政府性基金预算支出表</w:t>
      </w:r>
      <w:bookmarkEnd w:id="11"/>
    </w:p>
    <w:tbl>
      <w:tblPr>
        <w:tblStyle w:val="9"/>
        <w:tblW w:w="4999" w:type="pct"/>
        <w:tblInd w:w="0" w:type="dxa"/>
        <w:shd w:val="clear" w:color="auto" w:fill="auto"/>
        <w:tblLayout w:type="autofit"/>
        <w:tblCellMar>
          <w:top w:w="0" w:type="dxa"/>
          <w:left w:w="0" w:type="dxa"/>
          <w:bottom w:w="0" w:type="dxa"/>
          <w:right w:w="0" w:type="dxa"/>
        </w:tblCellMar>
      </w:tblPr>
      <w:tblGrid>
        <w:gridCol w:w="1870"/>
        <w:gridCol w:w="4280"/>
        <w:gridCol w:w="2723"/>
      </w:tblGrid>
      <w:tr>
        <w:tblPrEx>
          <w:shd w:val="clear" w:color="auto" w:fill="auto"/>
          <w:tblCellMar>
            <w:top w:w="0" w:type="dxa"/>
            <w:left w:w="0" w:type="dxa"/>
            <w:bottom w:w="0" w:type="dxa"/>
            <w:right w:w="0" w:type="dxa"/>
          </w:tblCellMar>
        </w:tblPrEx>
        <w:trPr>
          <w:trHeight w:val="300" w:hRule="atLeast"/>
        </w:trPr>
        <w:tc>
          <w:tcPr>
            <w:tcW w:w="1054" w:type="pct"/>
            <w:tcBorders>
              <w:top w:val="nil"/>
              <w:left w:val="nil"/>
              <w:bottom w:val="nil"/>
              <w:right w:val="nil"/>
            </w:tcBorders>
            <w:shd w:val="clear" w:color="auto" w:fill="auto"/>
            <w:noWrap/>
            <w:tcMar>
              <w:top w:w="15" w:type="dxa"/>
              <w:left w:w="15" w:type="dxa"/>
              <w:right w:w="15" w:type="dxa"/>
            </w:tcMar>
            <w:vAlign w:val="bottom"/>
          </w:tcPr>
          <w:p>
            <w:pPr>
              <w:rPr>
                <w:rFonts w:hint="eastAsia" w:ascii="Calibri" w:hAnsi="Calibri" w:cs="Calibri"/>
                <w:i w:val="0"/>
                <w:color w:val="000000"/>
                <w:sz w:val="22"/>
                <w:szCs w:val="22"/>
                <w:u w:val="none"/>
              </w:rPr>
            </w:pPr>
          </w:p>
        </w:tc>
        <w:tc>
          <w:tcPr>
            <w:tcW w:w="241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预算公开表8</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2022年政府性基金预算支出表</w:t>
            </w:r>
          </w:p>
        </w:tc>
      </w:tr>
      <w:tr>
        <w:tblPrEx>
          <w:tblCellMar>
            <w:top w:w="0" w:type="dxa"/>
            <w:left w:w="0" w:type="dxa"/>
            <w:bottom w:w="0" w:type="dxa"/>
            <w:right w:w="0" w:type="dxa"/>
          </w:tblCellMar>
        </w:tblPrEx>
        <w:trPr>
          <w:trHeight w:val="300" w:hRule="atLeast"/>
        </w:trPr>
        <w:tc>
          <w:tcPr>
            <w:tcW w:w="105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1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00" w:hRule="atLeast"/>
        </w:trPr>
        <w:tc>
          <w:tcPr>
            <w:tcW w:w="34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53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政府性基金支出预算</w:t>
            </w:r>
          </w:p>
        </w:tc>
      </w:tr>
      <w:tr>
        <w:tblPrEx>
          <w:shd w:val="clear" w:color="auto" w:fill="auto"/>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3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3"/>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2" w:name="_Toc23455"/>
      <w:r>
        <w:rPr>
          <w:rFonts w:hint="eastAsia" w:ascii="仿宋_GB2312" w:hAnsi="楷体" w:eastAsia="仿宋_GB2312" w:cs="Times New Roman"/>
          <w:bCs w:val="0"/>
          <w:kern w:val="2"/>
          <w:sz w:val="32"/>
          <w:szCs w:val="32"/>
          <w:lang w:val="en-US" w:eastAsia="zh-CN" w:bidi="ar-SA"/>
        </w:rPr>
        <w:t>说明：本单位政府性基金预算支出为零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九、2022年国有资本经营预算收支预算表</w:t>
      </w:r>
      <w:bookmarkEnd w:id="12"/>
    </w:p>
    <w:tbl>
      <w:tblPr>
        <w:tblStyle w:val="9"/>
        <w:tblW w:w="4997" w:type="pct"/>
        <w:tblInd w:w="0" w:type="dxa"/>
        <w:shd w:val="clear" w:color="auto" w:fill="auto"/>
        <w:tblLayout w:type="autofit"/>
        <w:tblCellMar>
          <w:top w:w="0" w:type="dxa"/>
          <w:left w:w="0" w:type="dxa"/>
          <w:bottom w:w="0" w:type="dxa"/>
          <w:right w:w="0" w:type="dxa"/>
        </w:tblCellMar>
      </w:tblPr>
      <w:tblGrid>
        <w:gridCol w:w="1393"/>
        <w:gridCol w:w="999"/>
        <w:gridCol w:w="1891"/>
        <w:gridCol w:w="999"/>
        <w:gridCol w:w="999"/>
        <w:gridCol w:w="584"/>
        <w:gridCol w:w="999"/>
        <w:gridCol w:w="1006"/>
      </w:tblGrid>
      <w:tr>
        <w:tblPrEx>
          <w:shd w:val="clear" w:color="auto" w:fill="auto"/>
          <w:tblCellMar>
            <w:top w:w="0" w:type="dxa"/>
            <w:left w:w="0" w:type="dxa"/>
            <w:bottom w:w="0" w:type="dxa"/>
            <w:right w:w="0" w:type="dxa"/>
          </w:tblCellMar>
        </w:tblPrEx>
        <w:trPr>
          <w:trHeight w:val="300" w:hRule="atLeast"/>
        </w:trPr>
        <w:tc>
          <w:tcPr>
            <w:tcW w:w="78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8"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预算公开表9</w:t>
            </w:r>
          </w:p>
        </w:tc>
      </w:tr>
      <w:tr>
        <w:tblPrEx>
          <w:shd w:val="clear" w:color="auto" w:fill="auto"/>
          <w:tblCellMar>
            <w:top w:w="0" w:type="dxa"/>
            <w:left w:w="0" w:type="dxa"/>
            <w:bottom w:w="0" w:type="dxa"/>
            <w:right w:w="0" w:type="dxa"/>
          </w:tblCellMar>
        </w:tblPrEx>
        <w:trPr>
          <w:trHeight w:val="75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2022年国有资本经营预算收支预算表</w:t>
            </w:r>
          </w:p>
        </w:tc>
      </w:tr>
      <w:tr>
        <w:tblPrEx>
          <w:tblCellMar>
            <w:top w:w="0" w:type="dxa"/>
            <w:left w:w="0" w:type="dxa"/>
            <w:bottom w:w="0" w:type="dxa"/>
            <w:right w:w="0" w:type="dxa"/>
          </w:tblCellMar>
        </w:tblPrEx>
        <w:trPr>
          <w:trHeight w:val="300" w:hRule="atLeast"/>
        </w:trPr>
        <w:tc>
          <w:tcPr>
            <w:tcW w:w="78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8"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45" w:hRule="atLeast"/>
        </w:trPr>
        <w:tc>
          <w:tcPr>
            <w:tcW w:w="241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国有资本经营预算收入</w:t>
            </w:r>
          </w:p>
        </w:tc>
        <w:tc>
          <w:tcPr>
            <w:tcW w:w="2584"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r>
      <w:tr>
        <w:tblPrEx>
          <w:shd w:val="clear" w:color="auto" w:fill="auto"/>
          <w:tblCellMar>
            <w:top w:w="0" w:type="dxa"/>
            <w:left w:w="0" w:type="dxa"/>
            <w:bottom w:w="0" w:type="dxa"/>
            <w:right w:w="0" w:type="dxa"/>
          </w:tblCellMar>
        </w:tblPrEx>
        <w:trPr>
          <w:trHeight w:val="345" w:hRule="atLeast"/>
        </w:trPr>
        <w:tc>
          <w:tcPr>
            <w:tcW w:w="134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6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国有资本经营收入预算</w:t>
            </w:r>
          </w:p>
        </w:tc>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5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345"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3"/>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3" w:name="_Toc19155"/>
      <w:r>
        <w:rPr>
          <w:rFonts w:hint="eastAsia" w:ascii="仿宋_GB2312" w:hAnsi="楷体" w:eastAsia="仿宋_GB2312" w:cs="Times New Roman"/>
          <w:bCs w:val="0"/>
          <w:kern w:val="2"/>
          <w:sz w:val="32"/>
          <w:szCs w:val="32"/>
          <w:lang w:val="en-US" w:eastAsia="zh-CN" w:bidi="ar-SA"/>
        </w:rPr>
        <w:t>说明：本单位国有资本经营预算收支均为零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十、2022年“三公”经费支出表</w:t>
      </w:r>
      <w:bookmarkEnd w:id="13"/>
    </w:p>
    <w:tbl>
      <w:tblPr>
        <w:tblStyle w:val="9"/>
        <w:tblW w:w="4999" w:type="pct"/>
        <w:tblInd w:w="0" w:type="dxa"/>
        <w:shd w:val="clear" w:color="auto" w:fill="auto"/>
        <w:tblLayout w:type="autofit"/>
        <w:tblCellMar>
          <w:top w:w="0" w:type="dxa"/>
          <w:left w:w="0" w:type="dxa"/>
          <w:bottom w:w="0" w:type="dxa"/>
          <w:right w:w="0" w:type="dxa"/>
        </w:tblCellMar>
      </w:tblPr>
      <w:tblGrid>
        <w:gridCol w:w="4232"/>
        <w:gridCol w:w="4641"/>
      </w:tblGrid>
      <w:tr>
        <w:tblPrEx>
          <w:tblCellMar>
            <w:top w:w="0" w:type="dxa"/>
            <w:left w:w="0" w:type="dxa"/>
            <w:bottom w:w="0" w:type="dxa"/>
            <w:right w:w="0" w:type="dxa"/>
          </w:tblCellMar>
        </w:tblPrEx>
        <w:trPr>
          <w:trHeight w:val="300" w:hRule="atLeast"/>
        </w:trPr>
        <w:tc>
          <w:tcPr>
            <w:tcW w:w="238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预算公开表10</w:t>
            </w:r>
          </w:p>
        </w:tc>
      </w:tr>
      <w:tr>
        <w:tblPrEx>
          <w:tblCellMar>
            <w:top w:w="0" w:type="dxa"/>
            <w:left w:w="0" w:type="dxa"/>
            <w:bottom w:w="0" w:type="dxa"/>
            <w:right w:w="0" w:type="dxa"/>
          </w:tblCellMar>
        </w:tblPrEx>
        <w:trPr>
          <w:trHeight w:val="750"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2022年一般公共预算“三公”经费支出情况统计表</w:t>
            </w:r>
          </w:p>
        </w:tc>
      </w:tr>
      <w:tr>
        <w:tblPrEx>
          <w:tblCellMar>
            <w:top w:w="0" w:type="dxa"/>
            <w:left w:w="0" w:type="dxa"/>
            <w:bottom w:w="0" w:type="dxa"/>
            <w:right w:w="0" w:type="dxa"/>
          </w:tblCellMar>
        </w:tblPrEx>
        <w:trPr>
          <w:trHeight w:val="300" w:hRule="atLeast"/>
        </w:trPr>
        <w:tc>
          <w:tcPr>
            <w:tcW w:w="238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①公务用车购置费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②公务用车运行维护费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r>
    </w:tbl>
    <w:p>
      <w:pPr>
        <w:pStyle w:val="3"/>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4" w:name="_Toc13196"/>
      <w:r>
        <w:rPr>
          <w:rFonts w:hint="eastAsia" w:ascii="仿宋_GB2312" w:hAnsi="楷体" w:eastAsia="仿宋_GB2312" w:cs="Times New Roman"/>
          <w:bCs w:val="0"/>
          <w:kern w:val="2"/>
          <w:sz w:val="32"/>
          <w:szCs w:val="32"/>
          <w:lang w:val="en-US" w:eastAsia="zh-CN" w:bidi="ar-SA"/>
        </w:rPr>
        <w:t>说明：本单位三公经费支出为零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十一、2022年机关运行经费预算财政拨款情况表</w:t>
      </w:r>
      <w:bookmarkEnd w:id="14"/>
    </w:p>
    <w:tbl>
      <w:tblPr>
        <w:tblStyle w:val="9"/>
        <w:tblW w:w="4999" w:type="pct"/>
        <w:tblInd w:w="0" w:type="dxa"/>
        <w:shd w:val="clear" w:color="auto" w:fill="auto"/>
        <w:tblLayout w:type="autofit"/>
        <w:tblCellMar>
          <w:top w:w="0" w:type="dxa"/>
          <w:left w:w="0" w:type="dxa"/>
          <w:bottom w:w="0" w:type="dxa"/>
          <w:right w:w="0" w:type="dxa"/>
        </w:tblCellMar>
      </w:tblPr>
      <w:tblGrid>
        <w:gridCol w:w="1778"/>
        <w:gridCol w:w="3643"/>
        <w:gridCol w:w="3452"/>
      </w:tblGrid>
      <w:tr>
        <w:tblPrEx>
          <w:shd w:val="clear" w:color="auto" w:fill="auto"/>
          <w:tblCellMar>
            <w:top w:w="0" w:type="dxa"/>
            <w:left w:w="0" w:type="dxa"/>
            <w:bottom w:w="0" w:type="dxa"/>
            <w:right w:w="0" w:type="dxa"/>
          </w:tblCellMar>
        </w:tblPrEx>
        <w:trPr>
          <w:trHeight w:val="300" w:hRule="atLeast"/>
        </w:trPr>
        <w:tc>
          <w:tcPr>
            <w:tcW w:w="1002" w:type="pct"/>
            <w:tcBorders>
              <w:top w:val="nil"/>
              <w:left w:val="nil"/>
              <w:bottom w:val="nil"/>
              <w:right w:val="nil"/>
            </w:tcBorders>
            <w:shd w:val="clear" w:color="auto" w:fill="auto"/>
            <w:noWrap/>
            <w:tcMar>
              <w:top w:w="15" w:type="dxa"/>
              <w:left w:w="15" w:type="dxa"/>
              <w:right w:w="15" w:type="dxa"/>
            </w:tcMar>
            <w:vAlign w:val="bottom"/>
          </w:tcPr>
          <w:p>
            <w:pPr>
              <w:rPr>
                <w:rFonts w:hint="eastAsia" w:ascii="Calibri" w:hAnsi="Calibri" w:cs="Calibri"/>
                <w:i w:val="0"/>
                <w:color w:val="000000"/>
                <w:sz w:val="22"/>
                <w:szCs w:val="22"/>
                <w:u w:val="none"/>
              </w:rPr>
            </w:pPr>
          </w:p>
        </w:tc>
        <w:tc>
          <w:tcPr>
            <w:tcW w:w="205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预算公开表11</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2022年机关运行经费预算财政拨款情况统计表</w:t>
            </w:r>
          </w:p>
        </w:tc>
      </w:tr>
      <w:tr>
        <w:tblPrEx>
          <w:tblCellMar>
            <w:top w:w="0" w:type="dxa"/>
            <w:left w:w="0" w:type="dxa"/>
            <w:bottom w:w="0" w:type="dxa"/>
            <w:right w:w="0" w:type="dxa"/>
          </w:tblCellMar>
        </w:tblPrEx>
        <w:trPr>
          <w:trHeight w:val="300" w:hRule="atLeast"/>
        </w:trPr>
        <w:tc>
          <w:tcPr>
            <w:tcW w:w="1002" w:type="pct"/>
            <w:tcBorders>
              <w:top w:val="nil"/>
              <w:left w:val="nil"/>
              <w:bottom w:val="nil"/>
              <w:right w:val="nil"/>
            </w:tcBorders>
            <w:shd w:val="clear" w:color="auto" w:fill="auto"/>
            <w:noWrap/>
            <w:tcMar>
              <w:top w:w="15" w:type="dxa"/>
              <w:left w:w="15" w:type="dxa"/>
              <w:right w:w="15" w:type="dxa"/>
            </w:tcMar>
            <w:vAlign w:val="bottom"/>
          </w:tcPr>
          <w:p>
            <w:pPr>
              <w:rPr>
                <w:rFonts w:hint="default" w:ascii="Calibri" w:hAnsi="Calibri" w:cs="Calibri"/>
                <w:i w:val="0"/>
                <w:color w:val="000000"/>
                <w:sz w:val="22"/>
                <w:szCs w:val="22"/>
                <w:u w:val="none"/>
              </w:rPr>
            </w:pPr>
          </w:p>
        </w:tc>
        <w:tc>
          <w:tcPr>
            <w:tcW w:w="205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2022年预算数</w:t>
            </w:r>
          </w:p>
        </w:tc>
      </w:tr>
      <w:tr>
        <w:tblPrEx>
          <w:tblCellMar>
            <w:top w:w="0" w:type="dxa"/>
            <w:left w:w="0" w:type="dxa"/>
            <w:bottom w:w="0" w:type="dxa"/>
            <w:right w:w="0"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3"/>
        <w:rPr>
          <w:rFonts w:hint="eastAsia" w:asciiTheme="minorEastAsia" w:hAnsiTheme="minorEastAsia" w:eastAsiaTheme="minorEastAsia" w:cstheme="minorEastAsia"/>
          <w:lang w:val="en-US" w:eastAsia="zh-CN"/>
        </w:rPr>
      </w:pPr>
      <w:r>
        <w:rPr>
          <w:rFonts w:hint="eastAsia" w:ascii="仿宋_GB2312" w:hAnsi="楷体" w:eastAsia="仿宋_GB2312" w:cs="Times New Roman"/>
          <w:bCs w:val="0"/>
          <w:kern w:val="2"/>
          <w:sz w:val="32"/>
          <w:szCs w:val="32"/>
          <w:lang w:val="en-US" w:eastAsia="zh-CN" w:bidi="ar-SA"/>
        </w:rPr>
        <w:t>说明：本单位机关运行经费支出为零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Theme="minorEastAsia" w:hAnsiTheme="minorEastAsia" w:eastAsiaTheme="minorEastAsia" w:cstheme="minorEastAsia"/>
          <w:b/>
          <w:bCs/>
          <w:i w:val="0"/>
          <w:iCs w:val="0"/>
          <w:caps w:val="0"/>
          <w:color w:val="000000"/>
          <w:spacing w:val="0"/>
          <w:sz w:val="32"/>
          <w:szCs w:val="32"/>
          <w:shd w:val="clear" w:fill="FFFFFF"/>
        </w:rPr>
      </w:pPr>
      <w:bookmarkStart w:id="15" w:name="_Toc18518"/>
      <w:r>
        <w:rPr>
          <w:rFonts w:hint="eastAsia" w:asciiTheme="minorEastAsia" w:hAnsiTheme="minorEastAsia" w:eastAsiaTheme="minorEastAsia" w:cstheme="minorEastAsia"/>
          <w:b/>
          <w:bCs/>
          <w:i w:val="0"/>
          <w:iCs w:val="0"/>
          <w:caps w:val="0"/>
          <w:color w:val="000000"/>
          <w:spacing w:val="0"/>
          <w:sz w:val="32"/>
          <w:szCs w:val="32"/>
          <w:shd w:val="clear" w:fill="FFFFFF"/>
        </w:rPr>
        <w:t>第三部分2022年度部门预算情况说明</w:t>
      </w:r>
      <w:bookmarkEnd w:id="1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rPr>
      </w:pPr>
      <w:bookmarkStart w:id="16" w:name="_Toc1864"/>
      <w:r>
        <w:rPr>
          <w:rFonts w:hint="eastAsia" w:asciiTheme="minorEastAsia" w:hAnsiTheme="minorEastAsia" w:eastAsiaTheme="minorEastAsia" w:cstheme="minorEastAsia"/>
          <w:b/>
          <w:bCs/>
          <w:i w:val="0"/>
          <w:iCs w:val="0"/>
          <w:caps w:val="0"/>
          <w:color w:val="000000"/>
          <w:spacing w:val="0"/>
          <w:sz w:val="28"/>
          <w:szCs w:val="28"/>
          <w:shd w:val="clear" w:fill="FFFFFF"/>
        </w:rPr>
        <w:t>一、202</w:t>
      </w:r>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2</w:t>
      </w:r>
      <w:r>
        <w:rPr>
          <w:rFonts w:hint="eastAsia" w:asciiTheme="minorEastAsia" w:hAnsiTheme="minorEastAsia" w:eastAsiaTheme="minorEastAsia" w:cstheme="minorEastAsia"/>
          <w:b/>
          <w:bCs/>
          <w:i w:val="0"/>
          <w:iCs w:val="0"/>
          <w:caps w:val="0"/>
          <w:color w:val="000000"/>
          <w:spacing w:val="0"/>
          <w:sz w:val="28"/>
          <w:szCs w:val="28"/>
          <w:shd w:val="clear" w:fill="FFFFFF"/>
        </w:rPr>
        <w:t>年度部门预算收支情况</w:t>
      </w:r>
      <w:bookmarkEnd w:id="1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  （一）收入预算情况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t>我单位2022年收入预算270.57万元，均为一般公共预算收入；比2021年减少33.27万元</w:t>
      </w:r>
      <w:r>
        <w:rPr>
          <w:rFonts w:hint="eastAsia" w:asciiTheme="minorEastAsia" w:hAnsiTheme="minorEastAsia" w:cstheme="minorEastAsia"/>
          <w:b w:val="0"/>
          <w:bCs w:val="0"/>
          <w:i w:val="0"/>
          <w:iCs w:val="0"/>
          <w:caps w:val="0"/>
          <w:color w:val="000000"/>
          <w:spacing w:val="0"/>
          <w:kern w:val="0"/>
          <w:sz w:val="28"/>
          <w:szCs w:val="28"/>
          <w:highlight w:val="none"/>
          <w:shd w:val="clear" w:fill="FFFFFF"/>
          <w:lang w:val="en-US" w:eastAsia="zh-CN" w:bidi="ar"/>
        </w:rPr>
        <w:t>，</w:t>
      </w: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t>同比减少10.95%，原因为2022年减少事业单位经营收入预算。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 </w:t>
      </w:r>
      <w:r>
        <w:rPr>
          <w:rFonts w:hint="eastAsia" w:asciiTheme="minorEastAsia" w:hAnsiTheme="minorEastAsia" w:cstheme="minorEastAsia"/>
          <w:b w:val="0"/>
          <w:bCs w:val="0"/>
          <w:i w:val="0"/>
          <w:iCs w:val="0"/>
          <w:caps w:val="0"/>
          <w:color w:val="000000"/>
          <w:spacing w:val="0"/>
          <w:sz w:val="28"/>
          <w:szCs w:val="28"/>
          <w:highlight w:val="none"/>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（二）一般公共预算支出情况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t>我单位2022年一般公共预算支出270.57万元，比2021年减少33.27万元</w:t>
      </w:r>
      <w:r>
        <w:rPr>
          <w:rFonts w:hint="eastAsia" w:asciiTheme="minorEastAsia" w:hAnsiTheme="minorEastAsia" w:cstheme="minorEastAsia"/>
          <w:b w:val="0"/>
          <w:bCs w:val="0"/>
          <w:i w:val="0"/>
          <w:iCs w:val="0"/>
          <w:caps w:val="0"/>
          <w:color w:val="000000"/>
          <w:spacing w:val="0"/>
          <w:kern w:val="0"/>
          <w:sz w:val="28"/>
          <w:szCs w:val="28"/>
          <w:highlight w:val="none"/>
          <w:shd w:val="clear" w:fill="FFFFFF"/>
          <w:lang w:val="en-US" w:eastAsia="zh-CN" w:bidi="ar"/>
        </w:rPr>
        <w:t>，</w:t>
      </w: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t>同比减少10.95%。</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1.202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t>年基本支出106.07万元，比2021年减少13.27万元，减少11.12%。基本支出系按现有人员工资标准和公用经费定额标准核定。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其中人员经费支出100.80万元，主要包括</w:t>
      </w:r>
      <w:r>
        <w:rPr>
          <w:rFonts w:hint="eastAsia" w:asciiTheme="minorEastAsia" w:hAnsiTheme="minorEastAsia" w:eastAsiaTheme="minorEastAsia" w:cstheme="minorEastAsia"/>
          <w:color w:val="auto"/>
          <w:sz w:val="28"/>
          <w:szCs w:val="28"/>
          <w:highlight w:val="none"/>
        </w:rPr>
        <w:t>基本工资、津贴补贴、奖金、绩效工资、机关事业单位基本养老保险缴费、职工基本医疗保险缴费、其他社会保障缴费、住房公积金、其他工资福利支出、退休费、奖励金；公用经费</w:t>
      </w:r>
      <w:r>
        <w:rPr>
          <w:rFonts w:hint="eastAsia" w:asciiTheme="minorEastAsia" w:hAnsiTheme="minorEastAsia" w:eastAsiaTheme="minorEastAsia" w:cstheme="minorEastAsia"/>
          <w:color w:val="auto"/>
          <w:sz w:val="28"/>
          <w:szCs w:val="28"/>
          <w:highlight w:val="none"/>
          <w:lang w:val="en-US" w:eastAsia="zh-CN"/>
        </w:rPr>
        <w:t>5.27</w:t>
      </w:r>
      <w:r>
        <w:rPr>
          <w:rFonts w:hint="eastAsia" w:asciiTheme="minorEastAsia" w:hAnsiTheme="minorEastAsia" w:eastAsiaTheme="minorEastAsia" w:cstheme="minorEastAsia"/>
          <w:color w:val="auto"/>
          <w:sz w:val="28"/>
          <w:szCs w:val="28"/>
          <w:highlight w:val="none"/>
        </w:rPr>
        <w:t>万元，主要包括办公费、印刷费、邮电费、差旅费、维修（护）费、工会经费、福利费、公务用车运行维护费、其他商品服务支出</w:t>
      </w:r>
      <w:r>
        <w:rPr>
          <w:rFonts w:hint="eastAsia" w:asciiTheme="minorEastAsia" w:hAnsiTheme="minorEastAsia" w:eastAsiaTheme="minorEastAsia" w:cstheme="minorEastAsia"/>
          <w:color w:val="auto"/>
          <w:sz w:val="28"/>
          <w:szCs w:val="28"/>
          <w:highlight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color w:val="auto"/>
          <w:kern w:val="2"/>
          <w:sz w:val="28"/>
          <w:szCs w:val="28"/>
          <w:highlight w:val="none"/>
          <w:lang w:val="en-US" w:eastAsia="zh-CN" w:bidi="ar-SA"/>
        </w:rPr>
        <w:t>2.2022年项目支出164.50万元，为一般公共预算资金，与2021相比</w:t>
      </w:r>
      <w:r>
        <w:rPr>
          <w:rFonts w:hint="eastAsia" w:asciiTheme="minorEastAsia" w:hAnsiTheme="minorEastAsia" w:cstheme="minorEastAsia"/>
          <w:color w:val="auto"/>
          <w:kern w:val="2"/>
          <w:sz w:val="28"/>
          <w:szCs w:val="28"/>
          <w:highlight w:val="none"/>
          <w:lang w:val="en-US" w:eastAsia="zh-CN" w:bidi="ar-SA"/>
        </w:rPr>
        <w:t>没有</w:t>
      </w:r>
      <w:r>
        <w:rPr>
          <w:rFonts w:hint="eastAsia" w:asciiTheme="minorEastAsia" w:hAnsiTheme="minorEastAsia" w:eastAsiaTheme="minorEastAsia" w:cstheme="minorEastAsia"/>
          <w:color w:val="auto"/>
          <w:kern w:val="2"/>
          <w:sz w:val="28"/>
          <w:szCs w:val="28"/>
          <w:highlight w:val="none"/>
          <w:lang w:val="en-US" w:eastAsia="zh-CN" w:bidi="ar-SA"/>
        </w:rPr>
        <w:t>变动。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（三）政府性基金预算支出情况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rPr>
      </w:pPr>
      <w:bookmarkStart w:id="17" w:name="_Toc21486"/>
      <w:r>
        <w:rPr>
          <w:rFonts w:hint="eastAsia" w:asciiTheme="minorEastAsia" w:hAnsiTheme="minorEastAsia" w:eastAsiaTheme="minorEastAsia" w:cstheme="minorEastAsia"/>
          <w:b/>
          <w:bCs/>
          <w:i w:val="0"/>
          <w:iCs w:val="0"/>
          <w:caps w:val="0"/>
          <w:color w:val="000000"/>
          <w:spacing w:val="0"/>
          <w:sz w:val="28"/>
          <w:szCs w:val="28"/>
          <w:shd w:val="clear" w:fill="FFFFFF"/>
        </w:rPr>
        <w:t>二、“三公”经费情况</w:t>
      </w:r>
      <w:bookmarkEnd w:id="1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202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年</w:t>
      </w:r>
      <w:r>
        <w:rPr>
          <w:rFonts w:hint="eastAsia" w:asciiTheme="minorEastAsia" w:hAnsiTheme="minorEastAsia" w:eastAsiaTheme="minorEastAsia" w:cstheme="minorEastAsia"/>
          <w:color w:val="auto"/>
          <w:sz w:val="28"/>
          <w:szCs w:val="28"/>
          <w:highlight w:val="none"/>
        </w:rPr>
        <w:t>一般公共预算安排的</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“三公”经费预</w:t>
      </w:r>
      <w:r>
        <w:rPr>
          <w:rFonts w:hint="eastAsia" w:asciiTheme="minorEastAsia" w:hAnsiTheme="minorEastAsia" w:eastAsiaTheme="minorEastAsia" w:cstheme="minorEastAsia"/>
          <w:color w:val="auto"/>
          <w:sz w:val="28"/>
          <w:szCs w:val="28"/>
          <w:highlight w:val="none"/>
        </w:rPr>
        <w:t>算</w:t>
      </w:r>
      <w:r>
        <w:rPr>
          <w:rFonts w:hint="eastAsia" w:asciiTheme="minorEastAsia" w:hAnsiTheme="minorEastAsia" w:eastAsiaTheme="minorEastAsia" w:cstheme="minorEastAsia"/>
          <w:color w:val="auto"/>
          <w:sz w:val="28"/>
          <w:szCs w:val="28"/>
          <w:highlight w:val="none"/>
          <w:lang w:val="en-US" w:eastAsia="zh-CN"/>
        </w:rPr>
        <w:t>1.60</w:t>
      </w:r>
      <w:r>
        <w:rPr>
          <w:rFonts w:hint="eastAsia" w:asciiTheme="minorEastAsia" w:hAnsiTheme="minorEastAsia" w:eastAsiaTheme="minorEastAsia" w:cstheme="minorEastAsia"/>
          <w:color w:val="auto"/>
          <w:sz w:val="28"/>
          <w:szCs w:val="28"/>
          <w:highlight w:val="none"/>
        </w:rPr>
        <w:t>万元，其中公务用车运行维护费</w:t>
      </w:r>
      <w:r>
        <w:rPr>
          <w:rFonts w:hint="eastAsia" w:asciiTheme="minorEastAsia" w:hAnsiTheme="minorEastAsia" w:eastAsiaTheme="minorEastAsia" w:cstheme="minorEastAsia"/>
          <w:color w:val="auto"/>
          <w:sz w:val="28"/>
          <w:szCs w:val="28"/>
          <w:highlight w:val="none"/>
          <w:lang w:val="en-US" w:eastAsia="zh-CN"/>
        </w:rPr>
        <w:t>1.60</w:t>
      </w:r>
      <w:r>
        <w:rPr>
          <w:rFonts w:hint="eastAsia" w:asciiTheme="minorEastAsia" w:hAnsiTheme="minorEastAsia" w:eastAsiaTheme="minorEastAsia" w:cstheme="minorEastAsia"/>
          <w:color w:val="auto"/>
          <w:sz w:val="28"/>
          <w:szCs w:val="28"/>
          <w:highlight w:val="none"/>
        </w:rPr>
        <w:t>万元。公务接待费、因公出国（境）费用、公务用车购置费均为0</w:t>
      </w:r>
      <w:r>
        <w:rPr>
          <w:rFonts w:hint="eastAsia" w:asciiTheme="minorEastAsia" w:hAnsiTheme="minorEastAsia" w:eastAsiaTheme="minorEastAsia" w:cstheme="minorEastAsia"/>
          <w:color w:val="auto"/>
          <w:sz w:val="28"/>
          <w:szCs w:val="28"/>
          <w:highlight w:val="none"/>
          <w:lang w:val="en-US" w:eastAsia="zh-CN"/>
        </w:rPr>
        <w:t>万元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与</w:t>
      </w:r>
      <w:r>
        <w:rPr>
          <w:rFonts w:hint="eastAsia" w:asciiTheme="minorEastAsia" w:hAnsiTheme="minorEastAsia" w:eastAsiaTheme="minorEastAsia" w:cstheme="minorEastAsia"/>
          <w:color w:val="auto"/>
          <w:sz w:val="28"/>
          <w:szCs w:val="28"/>
          <w:highlight w:val="none"/>
          <w:lang w:val="en-US" w:eastAsia="zh-CN"/>
        </w:rPr>
        <w:t>2021年相比减少18.00万元 ，原因为上年三公经费预算有5辆负压车经费。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rPr>
      </w:pPr>
      <w:bookmarkStart w:id="18" w:name="_Toc3388"/>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三</w:t>
      </w:r>
      <w:r>
        <w:rPr>
          <w:rFonts w:hint="eastAsia" w:asciiTheme="minorEastAsia" w:hAnsiTheme="minorEastAsia" w:eastAsiaTheme="minorEastAsia" w:cstheme="minorEastAsia"/>
          <w:b/>
          <w:bCs/>
          <w:i w:val="0"/>
          <w:iCs w:val="0"/>
          <w:caps w:val="0"/>
          <w:color w:val="000000"/>
          <w:spacing w:val="0"/>
          <w:sz w:val="28"/>
          <w:szCs w:val="28"/>
          <w:shd w:val="clear" w:fill="FFFFFF"/>
        </w:rPr>
        <w:t>、机关运行经费</w:t>
      </w:r>
      <w:bookmarkEnd w:id="1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cstheme="minorEastAsia"/>
          <w:color w:val="auto"/>
          <w:sz w:val="28"/>
          <w:szCs w:val="28"/>
          <w:highlight w:val="none"/>
          <w:lang w:val="en-US" w:eastAsia="zh-CN"/>
        </w:rPr>
        <w:t>无机关运行经费。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bookmarkStart w:id="19" w:name="_Toc4230"/>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四、政府采购预算情况</w:t>
      </w:r>
      <w:bookmarkEnd w:id="1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我单位202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年政</w:t>
      </w:r>
      <w:r>
        <w:rPr>
          <w:rFonts w:hint="eastAsia" w:asciiTheme="minorEastAsia" w:hAnsiTheme="minorEastAsia" w:eastAsiaTheme="minorEastAsia" w:cstheme="minorEastAsia"/>
          <w:color w:val="auto"/>
          <w:sz w:val="28"/>
          <w:szCs w:val="28"/>
          <w:highlight w:val="none"/>
          <w:lang w:val="en-US" w:eastAsia="zh-CN"/>
        </w:rPr>
        <w:t>府采购预算总额21.70万元，其中：支付日常办公用品0.30万元，专项经费购置医疗设备以及车辆维护保养21.40万元。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bookmarkStart w:id="20" w:name="_Toc4667"/>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五、绩效评价工作情况及评价结果</w:t>
      </w:r>
      <w:bookmarkEnd w:id="2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202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年绩效管理</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项目</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共</w:t>
      </w:r>
      <w:r>
        <w:rPr>
          <w:rFonts w:hint="eastAsia" w:asciiTheme="minorEastAsia" w:hAnsiTheme="minorEastAsia" w:cstheme="minorEastAsia"/>
          <w:b w:val="0"/>
          <w:bCs w:val="0"/>
          <w:i w:val="0"/>
          <w:iCs w:val="0"/>
          <w:caps w:val="0"/>
          <w:color w:val="000000"/>
          <w:spacing w:val="0"/>
          <w:sz w:val="28"/>
          <w:szCs w:val="28"/>
          <w:highlight w:val="none"/>
          <w:shd w:val="clear" w:fill="FFFFFF"/>
          <w:lang w:val="en-US" w:eastAsia="zh-CN"/>
        </w:rPr>
        <w:t>7</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项，资金总额164.5</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0</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全面设定绩效目标，填写《绩效目标申报表》</w:t>
      </w:r>
      <w:r>
        <w:rPr>
          <w:rFonts w:hint="eastAsia" w:asciiTheme="minorEastAsia" w:hAnsiTheme="minorEastAsia" w:cstheme="minorEastAsia"/>
          <w:b w:val="0"/>
          <w:bCs w:val="0"/>
          <w:i w:val="0"/>
          <w:iCs w:val="0"/>
          <w:caps w:val="0"/>
          <w:color w:val="000000"/>
          <w:spacing w:val="0"/>
          <w:sz w:val="28"/>
          <w:szCs w:val="28"/>
          <w:highlight w:val="none"/>
          <w:shd w:val="clear" w:fill="FFFFFF"/>
          <w:lang w:eastAsia="zh-CN"/>
        </w:rPr>
        <w:t>，</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随预算上报。</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2022年项目资金由财政部门统一管理，</w:t>
      </w:r>
      <w:r>
        <w:rPr>
          <w:rFonts w:hint="eastAsia" w:asciiTheme="minorEastAsia" w:hAnsiTheme="minorEastAsia" w:eastAsiaTheme="minorEastAsia" w:cstheme="minorEastAsia"/>
          <w:b w:val="0"/>
          <w:bCs w:val="0"/>
          <w:i w:val="0"/>
          <w:iCs w:val="0"/>
          <w:caps w:val="0"/>
          <w:color w:val="000000"/>
          <w:spacing w:val="0"/>
          <w:kern w:val="44"/>
          <w:sz w:val="28"/>
          <w:szCs w:val="28"/>
          <w:highlight w:val="none"/>
          <w:shd w:val="clear" w:fill="FFFFFF"/>
          <w:lang w:val="en-US" w:eastAsia="zh-CN" w:bidi="ar"/>
        </w:rPr>
        <w:t>专款专用，专人管理，严格规范资金使用项目，严禁挤占挪用，从严从实按资金使用项目执行，确保资金安全运行，取得良好的社会效益。财务</w:t>
      </w:r>
      <w:r>
        <w:rPr>
          <w:rFonts w:hint="eastAsia"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t>账</w:t>
      </w:r>
      <w:r>
        <w:rPr>
          <w:rFonts w:hint="eastAsia" w:asciiTheme="minorEastAsia" w:hAnsiTheme="minorEastAsia" w:eastAsiaTheme="minorEastAsia" w:cstheme="minorEastAsia"/>
          <w:b w:val="0"/>
          <w:bCs w:val="0"/>
          <w:i w:val="0"/>
          <w:iCs w:val="0"/>
          <w:caps w:val="0"/>
          <w:color w:val="000000"/>
          <w:spacing w:val="0"/>
          <w:kern w:val="44"/>
          <w:sz w:val="28"/>
          <w:szCs w:val="28"/>
          <w:highlight w:val="none"/>
          <w:shd w:val="clear" w:fill="FFFFFF"/>
          <w:lang w:val="en-US" w:eastAsia="zh-CN" w:bidi="ar"/>
        </w:rPr>
        <w:t>务清楚，及时支出，手续健全，财务状况良好，管理规范有效。绩效评价工作以年初申报的绩效目标为依据，结合项目实施具体情况</w:t>
      </w:r>
      <w:r>
        <w:rPr>
          <w:rFonts w:hint="eastAsia"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t>制订</w:t>
      </w:r>
      <w:r>
        <w:rPr>
          <w:rFonts w:hint="eastAsia" w:asciiTheme="minorEastAsia" w:hAnsiTheme="minorEastAsia" w:eastAsiaTheme="minorEastAsia" w:cstheme="minorEastAsia"/>
          <w:b w:val="0"/>
          <w:bCs w:val="0"/>
          <w:i w:val="0"/>
          <w:iCs w:val="0"/>
          <w:caps w:val="0"/>
          <w:color w:val="000000"/>
          <w:spacing w:val="0"/>
          <w:kern w:val="44"/>
          <w:sz w:val="28"/>
          <w:szCs w:val="28"/>
          <w:highlight w:val="none"/>
          <w:shd w:val="clear" w:fill="FFFFFF"/>
          <w:lang w:val="en-US" w:eastAsia="zh-CN" w:bidi="ar"/>
        </w:rPr>
        <w:t>方案、情况调研、指标设计、数据收集、综合分析等，完成绩效自评工作。项目完成后对绩效自评结果进行公示，接受群众监督。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pPr>
      <w:r>
        <w:rPr>
          <w:rFonts w:hint="eastAsia" w:asciiTheme="minorEastAsia" w:hAnsiTheme="minorEastAsia" w:eastAsiaTheme="minorEastAsia" w:cstheme="minorEastAsia"/>
          <w:b w:val="0"/>
          <w:bCs w:val="0"/>
          <w:i w:val="0"/>
          <w:iCs w:val="0"/>
          <w:caps w:val="0"/>
          <w:color w:val="000000"/>
          <w:spacing w:val="0"/>
          <w:kern w:val="44"/>
          <w:sz w:val="28"/>
          <w:szCs w:val="28"/>
          <w:highlight w:val="none"/>
          <w:shd w:val="clear" w:fill="FFFFFF"/>
          <w:lang w:val="en-US" w:eastAsia="zh-CN" w:bidi="ar"/>
        </w:rPr>
        <w:t>以下分别列示我单位2022年度部分项目绩效目标申报表</w:t>
      </w:r>
      <w:r>
        <w:rPr>
          <w:rFonts w:hint="eastAsia"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t>：</w:t>
      </w:r>
    </w:p>
    <w:tbl>
      <w:tblPr>
        <w:tblStyle w:val="9"/>
        <w:tblW w:w="5000" w:type="pct"/>
        <w:tblInd w:w="0" w:type="dxa"/>
        <w:shd w:val="clear" w:color="auto" w:fill="auto"/>
        <w:tblLayout w:type="fixed"/>
        <w:tblCellMar>
          <w:top w:w="0" w:type="dxa"/>
          <w:left w:w="0" w:type="dxa"/>
          <w:bottom w:w="0" w:type="dxa"/>
          <w:right w:w="0" w:type="dxa"/>
        </w:tblCellMar>
      </w:tblPr>
      <w:tblGrid>
        <w:gridCol w:w="617"/>
        <w:gridCol w:w="929"/>
        <w:gridCol w:w="988"/>
        <w:gridCol w:w="1754"/>
        <w:gridCol w:w="828"/>
        <w:gridCol w:w="1755"/>
        <w:gridCol w:w="941"/>
        <w:gridCol w:w="1063"/>
      </w:tblGrid>
      <w:tr>
        <w:tblPrEx>
          <w:shd w:val="clear" w:color="auto" w:fill="auto"/>
          <w:tblCellMar>
            <w:top w:w="0" w:type="dxa"/>
            <w:left w:w="0" w:type="dxa"/>
            <w:bottom w:w="0" w:type="dxa"/>
            <w:right w:w="0" w:type="dxa"/>
          </w:tblCellMar>
        </w:tblPrEx>
        <w:trPr>
          <w:trHeight w:val="56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（一）项目支出绩效目标申报表</w:t>
            </w:r>
          </w:p>
        </w:tc>
      </w:tr>
      <w:tr>
        <w:tblPrEx>
          <w:shd w:val="clear" w:color="auto" w:fill="auto"/>
          <w:tblCellMar>
            <w:top w:w="0" w:type="dxa"/>
            <w:left w:w="0" w:type="dxa"/>
            <w:bottom w:w="0" w:type="dxa"/>
            <w:right w:w="0" w:type="dxa"/>
          </w:tblCellMar>
        </w:tblPrEx>
        <w:trPr>
          <w:trHeight w:val="300" w:hRule="atLeast"/>
        </w:trPr>
        <w:tc>
          <w:tcPr>
            <w:tcW w:w="34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5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43"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53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8"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XM应急救治工作经费</w:t>
            </w:r>
          </w:p>
        </w:tc>
      </w:tr>
      <w:tr>
        <w:tblPrEx>
          <w:shd w:val="clear" w:color="auto" w:fill="auto"/>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shd w:val="clear" w:color="auto" w:fill="auto"/>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shd w:val="clear" w:color="auto" w:fill="auto"/>
          <w:tblCellMar>
            <w:top w:w="0" w:type="dxa"/>
            <w:left w:w="0" w:type="dxa"/>
            <w:bottom w:w="0" w:type="dxa"/>
            <w:right w:w="0" w:type="dxa"/>
          </w:tblCellMar>
        </w:tblPrEx>
        <w:trPr>
          <w:trHeight w:val="300" w:hRule="atLeast"/>
        </w:trPr>
        <w:tc>
          <w:tcPr>
            <w:tcW w:w="142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w:t>
            </w:r>
          </w:p>
        </w:tc>
      </w:tr>
      <w:tr>
        <w:tblPrEx>
          <w:shd w:val="clear" w:color="auto" w:fill="auto"/>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w:t>
            </w:r>
          </w:p>
        </w:tc>
      </w:tr>
      <w:tr>
        <w:tblPrEx>
          <w:shd w:val="clear" w:color="auto" w:fill="auto"/>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为了保障部门日常工作的开展，保障单位行使管理职能的发挥，需要支付聘用人员劳务费。</w:t>
            </w:r>
          </w:p>
        </w:tc>
      </w:tr>
      <w:tr>
        <w:tblPrEx>
          <w:shd w:val="clear" w:color="auto" w:fill="auto"/>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财政每年拨付资金。</w:t>
            </w:r>
          </w:p>
        </w:tc>
      </w:tr>
      <w:tr>
        <w:tblPrEx>
          <w:shd w:val="clear" w:color="auto" w:fill="auto"/>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保障部门日常工作的开展，保障单位行使管理职能的发挥。</w:t>
            </w:r>
          </w:p>
        </w:tc>
      </w:tr>
      <w:tr>
        <w:tblPrEx>
          <w:shd w:val="clear" w:color="auto" w:fill="auto"/>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《部门内部管理制度》《大同市急救中心财务管理制度》</w:t>
            </w:r>
          </w:p>
        </w:tc>
      </w:tr>
      <w:tr>
        <w:tblPrEx>
          <w:shd w:val="clear" w:color="auto" w:fill="auto"/>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1.按月及时发放人员工资和社会保障缴费。2.保障日常工作正常进行。</w:t>
            </w:r>
          </w:p>
        </w:tc>
      </w:tr>
      <w:tr>
        <w:tblPrEx>
          <w:shd w:val="clear" w:color="auto" w:fill="auto"/>
          <w:tblCellMar>
            <w:top w:w="0" w:type="dxa"/>
            <w:left w:w="0" w:type="dxa"/>
            <w:bottom w:w="0" w:type="dxa"/>
            <w:right w:w="0" w:type="dxa"/>
          </w:tblCellMar>
        </w:tblPrEx>
        <w:trPr>
          <w:trHeight w:val="300" w:hRule="atLeast"/>
        </w:trPr>
        <w:tc>
          <w:tcPr>
            <w:tcW w:w="288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shd w:val="clear" w:color="auto" w:fill="auto"/>
          <w:tblCellMar>
            <w:top w:w="0" w:type="dxa"/>
            <w:left w:w="0" w:type="dxa"/>
            <w:bottom w:w="0" w:type="dxa"/>
            <w:right w:w="0" w:type="dxa"/>
          </w:tblCellMar>
        </w:tblPrEx>
        <w:trPr>
          <w:trHeight w:val="3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3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为了保障部门日常工作的开展，保障单位行使管理职能的发挥，需要支付聘用劳务费</w:t>
            </w:r>
          </w:p>
        </w:tc>
        <w:tc>
          <w:tcPr>
            <w:tcW w:w="2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为了保障部门日常工作开展，支付经费</w:t>
            </w:r>
          </w:p>
        </w:tc>
      </w:tr>
      <w:tr>
        <w:tblPrEx>
          <w:shd w:val="clear" w:color="auto" w:fill="auto"/>
          <w:tblCellMar>
            <w:top w:w="0" w:type="dxa"/>
            <w:left w:w="0" w:type="dxa"/>
            <w:bottom w:w="0" w:type="dxa"/>
            <w:right w:w="0" w:type="dxa"/>
          </w:tblCellMar>
        </w:tblPrEx>
        <w:trPr>
          <w:trHeight w:val="300" w:hRule="atLeast"/>
        </w:trPr>
        <w:tc>
          <w:tcPr>
            <w:tcW w:w="34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shd w:val="clear" w:color="auto" w:fill="auto"/>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按要求计算活动经费</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按要求计算活动经费</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r>
      <w:tr>
        <w:tblPrEx>
          <w:shd w:val="clear" w:color="auto" w:fill="auto"/>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r>
      <w:tr>
        <w:tblPrEx>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保障单位日常运行</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保障单位日常运行</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shd w:val="clear" w:color="auto" w:fill="auto"/>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保障日常工作开展和职能发挥</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保障日常工作开展和职能发挥</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shd w:val="clear" w:color="auto" w:fill="auto"/>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单位人员及社会满意度</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≥90%</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单位人员及社会满意度</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default"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pPr>
    </w:p>
    <w:tbl>
      <w:tblPr>
        <w:tblStyle w:val="9"/>
        <w:tblW w:w="5000" w:type="pct"/>
        <w:tblInd w:w="0" w:type="dxa"/>
        <w:shd w:val="clear" w:color="auto" w:fill="auto"/>
        <w:tblLayout w:type="fixed"/>
        <w:tblCellMar>
          <w:top w:w="0" w:type="dxa"/>
          <w:left w:w="0" w:type="dxa"/>
          <w:bottom w:w="0" w:type="dxa"/>
          <w:right w:w="0" w:type="dxa"/>
        </w:tblCellMar>
      </w:tblPr>
      <w:tblGrid>
        <w:gridCol w:w="578"/>
        <w:gridCol w:w="924"/>
        <w:gridCol w:w="960"/>
        <w:gridCol w:w="1568"/>
        <w:gridCol w:w="1021"/>
        <w:gridCol w:w="1506"/>
        <w:gridCol w:w="1299"/>
        <w:gridCol w:w="1019"/>
      </w:tblGrid>
      <w:tr>
        <w:tblPrEx>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（二）项目支出绩效目标申报表</w:t>
            </w:r>
          </w:p>
        </w:tc>
      </w:tr>
      <w:tr>
        <w:tblPrEx>
          <w:shd w:val="clear" w:color="auto" w:fill="auto"/>
          <w:tblCellMar>
            <w:top w:w="0" w:type="dxa"/>
            <w:left w:w="0" w:type="dxa"/>
            <w:bottom w:w="0" w:type="dxa"/>
            <w:right w:w="0" w:type="dxa"/>
          </w:tblCellMar>
        </w:tblPrEx>
        <w:trPr>
          <w:trHeight w:val="360" w:hRule="atLeast"/>
        </w:trPr>
        <w:tc>
          <w:tcPr>
            <w:tcW w:w="32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4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307"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731"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7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XM应急救治工作经费</w:t>
            </w:r>
          </w:p>
        </w:tc>
      </w:tr>
      <w:tr>
        <w:tblPrEx>
          <w:shd w:val="clear" w:color="auto" w:fill="auto"/>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shd w:val="clear" w:color="auto" w:fill="auto"/>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shd w:val="clear" w:color="auto" w:fill="auto"/>
          <w:tblCellMar>
            <w:top w:w="0" w:type="dxa"/>
            <w:left w:w="0" w:type="dxa"/>
            <w:bottom w:w="0" w:type="dxa"/>
            <w:right w:w="0" w:type="dxa"/>
          </w:tblCellMar>
        </w:tblPrEx>
        <w:trPr>
          <w:trHeight w:val="360" w:hRule="atLeast"/>
        </w:trPr>
        <w:tc>
          <w:tcPr>
            <w:tcW w:w="138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1,075,000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1,075,000</w:t>
            </w:r>
          </w:p>
        </w:tc>
      </w:tr>
      <w:tr>
        <w:tblPrEx>
          <w:shd w:val="clear" w:color="auto" w:fill="auto"/>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1,075,000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1,075,000</w:t>
            </w:r>
          </w:p>
        </w:tc>
      </w:tr>
      <w:tr>
        <w:tblPrEx>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为了保障部门日常工作的开展，保障单位行使管理职能的发挥，需要支付劳务费和日常办公费用。</w:t>
            </w:r>
          </w:p>
        </w:tc>
      </w:tr>
      <w:tr>
        <w:tblPrEx>
          <w:shd w:val="clear" w:color="auto" w:fill="auto"/>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财政每年拨付资金。</w:t>
            </w:r>
          </w:p>
        </w:tc>
      </w:tr>
      <w:tr>
        <w:tblPrEx>
          <w:shd w:val="clear" w:color="auto" w:fill="auto"/>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保障部门日常工作的开展，保障单位行使管理职能的发挥。</w:t>
            </w:r>
          </w:p>
        </w:tc>
      </w:tr>
      <w:tr>
        <w:tblPrEx>
          <w:shd w:val="clear" w:color="auto" w:fill="auto"/>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《部门内部管理制度》《大同市急救中心财务管理制度》</w:t>
            </w:r>
          </w:p>
        </w:tc>
      </w:tr>
      <w:tr>
        <w:tblPrEx>
          <w:shd w:val="clear" w:color="auto" w:fill="auto"/>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1.按月及时发放人员工资和社会保障缴费。2.保障日常工作正常进行。</w:t>
            </w:r>
          </w:p>
        </w:tc>
      </w:tr>
      <w:tr>
        <w:tblPrEx>
          <w:shd w:val="clear" w:color="auto" w:fill="auto"/>
          <w:tblCellMar>
            <w:top w:w="0" w:type="dxa"/>
            <w:left w:w="0" w:type="dxa"/>
            <w:bottom w:w="0" w:type="dxa"/>
            <w:right w:w="0" w:type="dxa"/>
          </w:tblCellMar>
        </w:tblPrEx>
        <w:trPr>
          <w:trHeight w:val="360" w:hRule="atLeast"/>
        </w:trPr>
        <w:tc>
          <w:tcPr>
            <w:tcW w:w="2845"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15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shd w:val="clear" w:color="auto" w:fill="auto"/>
          <w:tblCellMar>
            <w:top w:w="0" w:type="dxa"/>
            <w:left w:w="0" w:type="dxa"/>
            <w:bottom w:w="0" w:type="dxa"/>
            <w:right w:w="0" w:type="dxa"/>
          </w:tblCellMar>
        </w:tblPrEx>
        <w:trPr>
          <w:trHeight w:val="36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2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为了保障部门日常工作的开展，保障单位行使管理职能的发挥，需要支付差补人员工资。</w:t>
            </w:r>
          </w:p>
        </w:tc>
        <w:tc>
          <w:tcPr>
            <w:tcW w:w="215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为了保障部门日常工作开展，支付人员经费</w:t>
            </w:r>
          </w:p>
        </w:tc>
      </w:tr>
      <w:tr>
        <w:tblPrEx>
          <w:shd w:val="clear" w:color="auto" w:fill="auto"/>
          <w:tblCellMar>
            <w:top w:w="0" w:type="dxa"/>
            <w:left w:w="0" w:type="dxa"/>
            <w:bottom w:w="0" w:type="dxa"/>
            <w:right w:w="0" w:type="dxa"/>
          </w:tblCellMar>
        </w:tblPrEx>
        <w:trPr>
          <w:trHeight w:val="360" w:hRule="atLeast"/>
        </w:trPr>
        <w:tc>
          <w:tcPr>
            <w:tcW w:w="325"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保障退休取暖费人数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13人</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保障退休取暖费人数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13人</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保障在职职工工资人数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21人</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保障在职职工工资人数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21人</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保障差额人员工资人数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8人</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保障差额人员工资人数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8人</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人员经费发放准确率</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人员经费发放准确率</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人员经费保障率</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人员经费保障率</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工资项等是否发放及时</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及时发放</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工资项等是否发放及时</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及时发放</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工资项等发放时间</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2022年1月-12月</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工资项等发放时间</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2022年1月-12月</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2022年发放工资数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≤685000元</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2022年发放工资数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≤685000元</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2022年发放退休人员取暖费</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≤58000元</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2022年发放退休人员取暖费</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≤58000元</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2022年发放社保以及公积金数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≤332000元</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2022年发放社保以及公积金数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≤332000元</w:t>
            </w:r>
          </w:p>
        </w:tc>
      </w:tr>
      <w:tr>
        <w:tblPrEx>
          <w:shd w:val="clear" w:color="auto" w:fill="auto"/>
          <w:tblCellMar>
            <w:top w:w="0" w:type="dxa"/>
            <w:left w:w="0" w:type="dxa"/>
            <w:bottom w:w="0" w:type="dxa"/>
            <w:right w:w="0" w:type="dxa"/>
          </w:tblCellMar>
        </w:tblPrEx>
        <w:trPr>
          <w:trHeight w:val="579"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54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调动单位工作人员工作积极性</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w:t>
            </w:r>
          </w:p>
        </w:tc>
        <w:tc>
          <w:tcPr>
            <w:tcW w:w="84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调动单位工作人员工作积极性</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w:t>
            </w:r>
          </w:p>
        </w:tc>
      </w:tr>
      <w:tr>
        <w:tblPrEx>
          <w:shd w:val="clear" w:color="auto" w:fill="auto"/>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54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单位工作人员满意度</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≥95%</w:t>
            </w:r>
          </w:p>
        </w:tc>
        <w:tc>
          <w:tcPr>
            <w:tcW w:w="84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单位工作人员满意度</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≥95%</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696"/>
        <w:gridCol w:w="971"/>
        <w:gridCol w:w="1189"/>
        <w:gridCol w:w="1679"/>
        <w:gridCol w:w="685"/>
        <w:gridCol w:w="241"/>
        <w:gridCol w:w="1561"/>
        <w:gridCol w:w="1258"/>
        <w:gridCol w:w="595"/>
      </w:tblGrid>
      <w:tr>
        <w:tblPrEx>
          <w:tblCellMar>
            <w:top w:w="0" w:type="dxa"/>
            <w:left w:w="0" w:type="dxa"/>
            <w:bottom w:w="0" w:type="dxa"/>
            <w:right w:w="0" w:type="dxa"/>
          </w:tblCellMar>
        </w:tblPrEx>
        <w:trPr>
          <w:trHeight w:val="420" w:hRule="atLeast"/>
        </w:trPr>
        <w:tc>
          <w:tcPr>
            <w:tcW w:w="5000"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（三）项目支出绩效目标申报表</w:t>
            </w:r>
          </w:p>
        </w:tc>
      </w:tr>
      <w:tr>
        <w:tblPrEx>
          <w:tblCellMar>
            <w:top w:w="0" w:type="dxa"/>
            <w:left w:w="0" w:type="dxa"/>
            <w:bottom w:w="0" w:type="dxa"/>
            <w:right w:w="0" w:type="dxa"/>
          </w:tblCellMar>
        </w:tblPrEx>
        <w:trPr>
          <w:trHeight w:val="360" w:hRule="atLeast"/>
        </w:trPr>
        <w:tc>
          <w:tcPr>
            <w:tcW w:w="392"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4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6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347" w:type="pct"/>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708"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Z急救车维护费</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6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6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360" w:hRule="atLeast"/>
        </w:trPr>
        <w:tc>
          <w:tcPr>
            <w:tcW w:w="16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为了保障全市急救工作正常进行，需要对救护车进行维护，更换设备。</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《院前医疗急救箮理办法》</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保障全市紧急救援工作顺利开展。</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《大同市急救中心内部控制管理制度》《大同市急救中心财务管理制度》</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每月定期检查车辆情况，发现问题及时处理</w:t>
            </w:r>
          </w:p>
        </w:tc>
      </w:tr>
      <w:tr>
        <w:tblPrEx>
          <w:tblCellMar>
            <w:top w:w="0" w:type="dxa"/>
            <w:left w:w="0" w:type="dxa"/>
            <w:bottom w:w="0" w:type="dxa"/>
            <w:right w:w="0" w:type="dxa"/>
          </w:tblCellMar>
        </w:tblPrEx>
        <w:trPr>
          <w:trHeight w:val="36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294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05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644"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4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每月定期检查车辆情况，发现问题及时处理</w:t>
            </w:r>
          </w:p>
        </w:tc>
        <w:tc>
          <w:tcPr>
            <w:tcW w:w="205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每月定期检查车辆情况，发现问题及时处理</w:t>
            </w:r>
          </w:p>
        </w:tc>
      </w:tr>
      <w:tr>
        <w:tblPrEx>
          <w:tblCellMar>
            <w:top w:w="0" w:type="dxa"/>
            <w:left w:w="0" w:type="dxa"/>
            <w:bottom w:w="0" w:type="dxa"/>
            <w:right w:w="0" w:type="dxa"/>
          </w:tblCellMar>
        </w:tblPrEx>
        <w:trPr>
          <w:trHeight w:val="360" w:hRule="atLeast"/>
        </w:trPr>
        <w:tc>
          <w:tcPr>
            <w:tcW w:w="39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按要求计算急救车维护费</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按要求计算急救车维护费</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经费发放及时性</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经费发放及时性</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保障急救车正常运行</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提高99%</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保障急救车正常运行</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提高99%</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工作满意度</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工作满意度</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701"/>
        <w:gridCol w:w="966"/>
        <w:gridCol w:w="1211"/>
        <w:gridCol w:w="1693"/>
        <w:gridCol w:w="935"/>
        <w:gridCol w:w="1231"/>
        <w:gridCol w:w="1536"/>
        <w:gridCol w:w="602"/>
      </w:tblGrid>
      <w:tr>
        <w:tblPrEx>
          <w:shd w:val="clear" w:color="auto" w:fill="auto"/>
          <w:tblCellMar>
            <w:top w:w="0" w:type="dxa"/>
            <w:left w:w="0" w:type="dxa"/>
            <w:bottom w:w="0" w:type="dxa"/>
            <w:right w:w="0" w:type="dxa"/>
          </w:tblCellMar>
        </w:tblPrEx>
        <w:trPr>
          <w:trHeight w:val="60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9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54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82"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2174"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86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33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10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189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270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189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94"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8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正常运行</w:t>
            </w: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r>
      <w:tr>
        <w:tblPrEx>
          <w:shd w:val="clear" w:color="auto" w:fill="auto"/>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000000"/>
                <w:kern w:val="0"/>
                <w:sz w:val="20"/>
                <w:szCs w:val="20"/>
                <w:u w:val="none"/>
                <w:lang w:val="en-US" w:eastAsia="zh-CN" w:bidi="ar"/>
              </w:rPr>
              <w:t>正常运行</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717"/>
        <w:gridCol w:w="920"/>
        <w:gridCol w:w="1307"/>
        <w:gridCol w:w="1732"/>
        <w:gridCol w:w="827"/>
        <w:gridCol w:w="1443"/>
        <w:gridCol w:w="1431"/>
        <w:gridCol w:w="498"/>
      </w:tblGrid>
      <w:tr>
        <w:tblPrEx>
          <w:shd w:val="clear" w:color="auto" w:fill="auto"/>
          <w:tblCellMar>
            <w:top w:w="0" w:type="dxa"/>
            <w:left w:w="0" w:type="dxa"/>
            <w:bottom w:w="0" w:type="dxa"/>
            <w:right w:w="0" w:type="dxa"/>
          </w:tblCellMar>
        </w:tblPrEx>
        <w:trPr>
          <w:trHeight w:val="44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（五）项目支出绩效目标申报表</w:t>
            </w:r>
          </w:p>
        </w:tc>
      </w:tr>
      <w:tr>
        <w:tblPrEx>
          <w:shd w:val="clear" w:color="auto" w:fill="auto"/>
          <w:tblCellMar>
            <w:top w:w="0" w:type="dxa"/>
            <w:left w:w="0" w:type="dxa"/>
            <w:bottom w:w="0" w:type="dxa"/>
            <w:right w:w="0" w:type="dxa"/>
          </w:tblCellMar>
        </w:tblPrEx>
        <w:trPr>
          <w:trHeight w:val="440" w:hRule="atLeast"/>
        </w:trPr>
        <w:tc>
          <w:tcPr>
            <w:tcW w:w="40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18"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54"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80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Z应急演练和重大活动保障经费</w:t>
            </w:r>
          </w:p>
        </w:tc>
      </w:tr>
      <w:tr>
        <w:tblPrEx>
          <w:shd w:val="clear" w:color="auto" w:fill="auto"/>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shd w:val="clear" w:color="auto" w:fill="auto"/>
          <w:tblCellMar>
            <w:top w:w="0" w:type="dxa"/>
            <w:left w:w="0" w:type="dxa"/>
            <w:bottom w:w="0" w:type="dxa"/>
            <w:right w:w="0" w:type="dxa"/>
          </w:tblCellMar>
        </w:tblPrEx>
        <w:trPr>
          <w:trHeight w:val="440" w:hRule="atLeast"/>
        </w:trPr>
        <w:tc>
          <w:tcPr>
            <w:tcW w:w="165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r>
      <w:tr>
        <w:tblPrEx>
          <w:shd w:val="clear" w:color="auto" w:fill="auto"/>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r>
      <w:tr>
        <w:tblPrEx>
          <w:shd w:val="clear" w:color="auto" w:fill="auto"/>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为了配合全市经济活动，进行应急医疗保障，我中心针对大型活动设立了医疗保障方案及应急预案，保证活动顺利进行。</w:t>
            </w:r>
          </w:p>
        </w:tc>
      </w:tr>
      <w:tr>
        <w:tblPrEx>
          <w:shd w:val="clear" w:color="auto" w:fill="auto"/>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《大同市卫生和计划生育委员会2021年重大活动医疗保障方案》《大同市卫生健康委员会关于进一步做好定点医院医疗保障工作的通知》</w:t>
            </w:r>
          </w:p>
        </w:tc>
      </w:tr>
      <w:tr>
        <w:tblPrEx>
          <w:shd w:val="clear" w:color="auto" w:fill="auto"/>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为了保障各种大型活动顺利进行。</w:t>
            </w:r>
          </w:p>
        </w:tc>
      </w:tr>
      <w:tr>
        <w:tblPrEx>
          <w:shd w:val="clear" w:color="auto" w:fill="auto"/>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《突发事件应急预案》《医疗保障方案》《大同市急救中心财务管理制度》</w:t>
            </w:r>
          </w:p>
        </w:tc>
      </w:tr>
      <w:tr>
        <w:tblPrEx>
          <w:shd w:val="clear" w:color="auto" w:fill="auto"/>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2022年1-12月保障重大活动顺利完成。1</w:t>
            </w:r>
          </w:p>
        </w:tc>
      </w:tr>
      <w:tr>
        <w:tblPrEx>
          <w:shd w:val="clear" w:color="auto" w:fill="auto"/>
          <w:tblCellMar>
            <w:top w:w="0" w:type="dxa"/>
            <w:left w:w="0" w:type="dxa"/>
            <w:bottom w:w="0" w:type="dxa"/>
            <w:right w:w="0" w:type="dxa"/>
          </w:tblCellMar>
        </w:tblPrEx>
        <w:trPr>
          <w:trHeight w:val="440" w:hRule="atLeast"/>
        </w:trPr>
        <w:tc>
          <w:tcPr>
            <w:tcW w:w="310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189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shd w:val="clear" w:color="auto" w:fill="auto"/>
          <w:tblCellMar>
            <w:top w:w="0" w:type="dxa"/>
            <w:left w:w="0" w:type="dxa"/>
            <w:bottom w:w="0" w:type="dxa"/>
            <w:right w:w="0" w:type="dxa"/>
          </w:tblCellMar>
        </w:tblPrEx>
        <w:trPr>
          <w:trHeight w:val="440" w:hRule="atLeast"/>
        </w:trPr>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69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保障全市各种大型活动顺利进行。</w:t>
            </w:r>
          </w:p>
        </w:tc>
        <w:tc>
          <w:tcPr>
            <w:tcW w:w="189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保障全市各种大型活动顺利进行。</w:t>
            </w:r>
          </w:p>
        </w:tc>
      </w:tr>
      <w:tr>
        <w:tblPrEx>
          <w:shd w:val="clear" w:color="auto" w:fill="auto"/>
          <w:tblCellMar>
            <w:top w:w="0" w:type="dxa"/>
            <w:left w:w="0" w:type="dxa"/>
            <w:bottom w:w="0" w:type="dxa"/>
            <w:right w:w="0" w:type="dxa"/>
          </w:tblCellMar>
        </w:tblPrEx>
        <w:trPr>
          <w:trHeight w:val="440" w:hRule="atLeast"/>
        </w:trPr>
        <w:tc>
          <w:tcPr>
            <w:tcW w:w="40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8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shd w:val="clear" w:color="auto" w:fill="auto"/>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按要求计算经费</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按要求计算经费</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应急活动及时</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应急活动及时</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shd w:val="clear" w:color="auto" w:fill="auto"/>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保障大型活动顺利进行</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保障大型活动顺利进行</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717"/>
        <w:gridCol w:w="905"/>
        <w:gridCol w:w="1322"/>
        <w:gridCol w:w="1732"/>
        <w:gridCol w:w="829"/>
        <w:gridCol w:w="1412"/>
        <w:gridCol w:w="1290"/>
        <w:gridCol w:w="668"/>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（六）项目支出绩效目标申报表</w:t>
            </w:r>
          </w:p>
        </w:tc>
      </w:tr>
      <w:tr>
        <w:tblPrEx>
          <w:shd w:val="clear" w:color="auto" w:fill="auto"/>
          <w:tblCellMar>
            <w:top w:w="0" w:type="dxa"/>
            <w:left w:w="0" w:type="dxa"/>
            <w:bottom w:w="0" w:type="dxa"/>
            <w:right w:w="0" w:type="dxa"/>
          </w:tblCellMar>
        </w:tblPrEx>
        <w:trPr>
          <w:trHeight w:val="360" w:hRule="atLeast"/>
        </w:trPr>
        <w:tc>
          <w:tcPr>
            <w:tcW w:w="40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0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4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38"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72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7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Z应急演练和重大活动保障经费</w:t>
            </w:r>
          </w:p>
        </w:tc>
      </w:tr>
      <w:tr>
        <w:tblPrEx>
          <w:shd w:val="clear" w:color="auto" w:fill="auto"/>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shd w:val="clear" w:color="auto" w:fill="auto"/>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shd w:val="clear" w:color="auto" w:fill="auto"/>
          <w:tblCellMar>
            <w:top w:w="0" w:type="dxa"/>
            <w:left w:w="0" w:type="dxa"/>
            <w:bottom w:w="0" w:type="dxa"/>
            <w:right w:w="0" w:type="dxa"/>
          </w:tblCellMar>
        </w:tblPrEx>
        <w:trPr>
          <w:trHeight w:val="360" w:hRule="atLeast"/>
        </w:trPr>
        <w:tc>
          <w:tcPr>
            <w:tcW w:w="165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shd w:val="clear" w:color="auto" w:fill="auto"/>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shd w:val="clear" w:color="auto" w:fill="auto"/>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为了配合全市经济活动，进行应急医疗保障，我中心针对大型活动设立了医疗保障方案及应急预案，保证活动顺利进行。未</w:t>
            </w:r>
          </w:p>
        </w:tc>
      </w:tr>
      <w:tr>
        <w:tblPrEx>
          <w:shd w:val="clear" w:color="auto" w:fill="auto"/>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《大同市卫生和计划生育委员会2021年重大活动医疗保障方案》《大同市卫生健康委员会关于进一步做好定点医院医疗保障工作的通知》</w:t>
            </w: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为了保障各种大型活动顺利进行。</w:t>
            </w:r>
          </w:p>
        </w:tc>
      </w:tr>
      <w:tr>
        <w:tblPrEx>
          <w:shd w:val="clear" w:color="auto" w:fill="auto"/>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《突发事件应急预案》《医疗保障方案》《大同市急救中心财务管理制度》</w:t>
            </w:r>
          </w:p>
        </w:tc>
      </w:tr>
      <w:tr>
        <w:tblPrEx>
          <w:shd w:val="clear" w:color="auto" w:fill="auto"/>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2022年1-12月保障重大活动顺利完成。</w:t>
            </w:r>
          </w:p>
        </w:tc>
      </w:tr>
      <w:tr>
        <w:tblPrEx>
          <w:tblCellMar>
            <w:top w:w="0" w:type="dxa"/>
            <w:left w:w="0" w:type="dxa"/>
            <w:bottom w:w="0" w:type="dxa"/>
            <w:right w:w="0" w:type="dxa"/>
          </w:tblCellMar>
        </w:tblPrEx>
        <w:trPr>
          <w:trHeight w:val="360" w:hRule="atLeast"/>
        </w:trPr>
        <w:tc>
          <w:tcPr>
            <w:tcW w:w="310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189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shd w:val="clear" w:color="auto" w:fill="auto"/>
          <w:tblCellMar>
            <w:top w:w="0" w:type="dxa"/>
            <w:left w:w="0" w:type="dxa"/>
            <w:bottom w:w="0" w:type="dxa"/>
            <w:right w:w="0" w:type="dxa"/>
          </w:tblCellMar>
        </w:tblPrEx>
        <w:trPr>
          <w:trHeight w:val="360" w:hRule="atLeast"/>
        </w:trPr>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69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为了保障各种大型活动顺利进行。</w:t>
            </w:r>
          </w:p>
        </w:tc>
        <w:tc>
          <w:tcPr>
            <w:tcW w:w="189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为了保障各种大型活动顺利进行。</w:t>
            </w:r>
          </w:p>
        </w:tc>
      </w:tr>
      <w:tr>
        <w:tblPrEx>
          <w:shd w:val="clear" w:color="auto" w:fill="auto"/>
          <w:tblCellMar>
            <w:top w:w="0" w:type="dxa"/>
            <w:left w:w="0" w:type="dxa"/>
            <w:bottom w:w="0" w:type="dxa"/>
            <w:right w:w="0" w:type="dxa"/>
          </w:tblCellMar>
        </w:tblPrEx>
        <w:trPr>
          <w:trHeight w:val="360" w:hRule="atLeast"/>
        </w:trPr>
        <w:tc>
          <w:tcPr>
            <w:tcW w:w="40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shd w:val="clear" w:color="auto" w:fill="auto"/>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按要求计算经费</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按要求计算经费</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应急活动及时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应急活动及时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shd w:val="clear" w:color="auto" w:fill="auto"/>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保障大型活动顺利进行</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保障大型活动顺利进行</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shd w:val="clear" w:color="auto" w:fill="auto"/>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696"/>
        <w:gridCol w:w="866"/>
        <w:gridCol w:w="1294"/>
        <w:gridCol w:w="1679"/>
        <w:gridCol w:w="685"/>
        <w:gridCol w:w="211"/>
        <w:gridCol w:w="1381"/>
        <w:gridCol w:w="1468"/>
        <w:gridCol w:w="595"/>
      </w:tblGrid>
      <w:tr>
        <w:tblPrEx>
          <w:shd w:val="clear" w:color="auto" w:fill="auto"/>
          <w:tblCellMar>
            <w:top w:w="0" w:type="dxa"/>
            <w:left w:w="0" w:type="dxa"/>
            <w:bottom w:w="0" w:type="dxa"/>
            <w:right w:w="0" w:type="dxa"/>
          </w:tblCellMar>
        </w:tblPrEx>
        <w:trPr>
          <w:trHeight w:val="340" w:hRule="atLeast"/>
        </w:trPr>
        <w:tc>
          <w:tcPr>
            <w:tcW w:w="5000"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（七）项目支出绩效目标申报表</w:t>
            </w:r>
          </w:p>
        </w:tc>
      </w:tr>
      <w:tr>
        <w:tblPrEx>
          <w:tblCellMar>
            <w:top w:w="0" w:type="dxa"/>
            <w:left w:w="0" w:type="dxa"/>
            <w:bottom w:w="0" w:type="dxa"/>
            <w:right w:w="0" w:type="dxa"/>
          </w:tblCellMar>
        </w:tblPrEx>
        <w:trPr>
          <w:trHeight w:val="340" w:hRule="atLeast"/>
        </w:trPr>
        <w:tc>
          <w:tcPr>
            <w:tcW w:w="392"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2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28" w:type="pct"/>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82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J驻村干部经费</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5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5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340" w:hRule="atLeast"/>
        </w:trPr>
        <w:tc>
          <w:tcPr>
            <w:tcW w:w="16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根据国家政策，帮助贫困农村。</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驻村人员的差旅费</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r>
      <w:tr>
        <w:tblPrEx>
          <w:tblCellMar>
            <w:top w:w="0" w:type="dxa"/>
            <w:left w:w="0" w:type="dxa"/>
            <w:bottom w:w="0" w:type="dxa"/>
            <w:right w:w="0" w:type="dxa"/>
          </w:tblCellMar>
        </w:tblPrEx>
        <w:trPr>
          <w:trHeight w:val="340" w:hRule="atLeast"/>
        </w:trPr>
        <w:tc>
          <w:tcPr>
            <w:tcW w:w="294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05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34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4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c>
          <w:tcPr>
            <w:tcW w:w="205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r>
      <w:tr>
        <w:tblPrEx>
          <w:tblCellMar>
            <w:top w:w="0" w:type="dxa"/>
            <w:left w:w="0" w:type="dxa"/>
            <w:bottom w:w="0" w:type="dxa"/>
            <w:right w:w="0" w:type="dxa"/>
          </w:tblCellMar>
        </w:tblPrEx>
        <w:trPr>
          <w:trHeight w:val="340" w:hRule="atLeast"/>
        </w:trPr>
        <w:tc>
          <w:tcPr>
            <w:tcW w:w="39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8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按要求计算活动经费</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＞100无</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按要求计算活动经费</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＞100无</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驻村活动经费及时发放</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驻村活动经费及时发放</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保障驻村活动正常</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保障驻村活动正常</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bookmarkStart w:id="21" w:name="_Toc24276"/>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六、国有资产占有使用情况</w:t>
      </w:r>
      <w:bookmarkEnd w:id="21"/>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一</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车辆情况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共有38辆车，其中：8辆应急保障用车，1辆</w:t>
      </w:r>
      <w:r>
        <w:rPr>
          <w:rFonts w:hint="eastAsia" w:asciiTheme="minorEastAsia" w:hAnsiTheme="minorEastAsia" w:eastAsiaTheme="minorEastAsia" w:cstheme="minorEastAsia"/>
          <w:color w:val="auto"/>
          <w:sz w:val="28"/>
          <w:szCs w:val="28"/>
          <w:highlight w:val="none"/>
        </w:rPr>
        <w:t>工作用车</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29辆特种专业用车。</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房屋情况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eastAsiaTheme="minorEastAsia" w:cstheme="minorEastAsia"/>
          <w:color w:val="auto"/>
          <w:sz w:val="28"/>
          <w:szCs w:val="28"/>
          <w:highlight w:val="none"/>
        </w:rPr>
        <w:t>系统</w:t>
      </w:r>
      <w:r>
        <w:rPr>
          <w:rFonts w:hint="eastAsia" w:asciiTheme="minorEastAsia" w:hAnsiTheme="minorEastAsia" w:eastAsiaTheme="minorEastAsia" w:cstheme="minorEastAsia"/>
          <w:color w:val="auto"/>
          <w:sz w:val="28"/>
          <w:szCs w:val="28"/>
          <w:highlight w:val="none"/>
          <w:lang w:val="en-US" w:eastAsia="zh-CN"/>
        </w:rPr>
        <w:t>无</w:t>
      </w:r>
      <w:r>
        <w:rPr>
          <w:rFonts w:hint="eastAsia" w:asciiTheme="minorEastAsia" w:hAnsiTheme="minorEastAsia" w:eastAsiaTheme="minorEastAsia" w:cstheme="minorEastAsia"/>
          <w:color w:val="auto"/>
          <w:sz w:val="28"/>
          <w:szCs w:val="28"/>
          <w:highlight w:val="none"/>
        </w:rPr>
        <w:t>房屋</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现使用医卫慈善用房800平米</w:t>
      </w:r>
      <w:r>
        <w:rPr>
          <w:rFonts w:hint="eastAsia" w:asciiTheme="minorEastAsia" w:hAnsiTheme="minorEastAsia" w:eastAsiaTheme="minorEastAsia" w:cstheme="minorEastAsia"/>
          <w:color w:val="auto"/>
          <w:sz w:val="28"/>
          <w:szCs w:val="28"/>
          <w:highlight w:val="none"/>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其他国有资产占有使用情况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w:t>
      </w:r>
      <w:r>
        <w:rPr>
          <w:rFonts w:hint="eastAsia" w:asciiTheme="minorEastAsia" w:hAnsiTheme="minorEastAsia" w:eastAsiaTheme="minorEastAsia" w:cstheme="minorEastAsia"/>
          <w:color w:val="auto"/>
          <w:sz w:val="28"/>
          <w:szCs w:val="28"/>
          <w:highlight w:val="none"/>
        </w:rPr>
        <w:t>单位价值50万元以上通用设备</w:t>
      </w:r>
      <w:r>
        <w:rPr>
          <w:rFonts w:hint="eastAsia" w:asciiTheme="minorEastAsia" w:hAnsiTheme="minorEastAsia" w:eastAsiaTheme="minorEastAsia" w:cstheme="minorEastAsia"/>
          <w:color w:val="auto"/>
          <w:sz w:val="28"/>
          <w:szCs w:val="28"/>
          <w:highlight w:val="none"/>
          <w:lang w:val="en-US" w:eastAsia="zh-CN"/>
        </w:rPr>
        <w:t>2个，为通信机房专用设备</w:t>
      </w:r>
      <w:r>
        <w:rPr>
          <w:rFonts w:hint="eastAsia" w:asciiTheme="minorEastAsia" w:hAnsiTheme="minorEastAsia" w:eastAsiaTheme="minorEastAsia" w:cstheme="minorEastAsia"/>
          <w:color w:val="auto"/>
          <w:sz w:val="28"/>
          <w:szCs w:val="28"/>
          <w:highlight w:val="none"/>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bCs/>
          <w:i w:val="0"/>
          <w:iCs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Theme="minorEastAsia" w:hAnsiTheme="minorEastAsia" w:eastAsiaTheme="minorEastAsia" w:cstheme="minorEastAsia"/>
          <w:b/>
          <w:bCs/>
          <w:i w:val="0"/>
          <w:iCs w:val="0"/>
          <w:caps w:val="0"/>
          <w:color w:val="000000"/>
          <w:spacing w:val="0"/>
          <w:sz w:val="32"/>
          <w:szCs w:val="32"/>
          <w:shd w:val="clear" w:fill="FFFFFF"/>
        </w:rPr>
      </w:pPr>
      <w:bookmarkStart w:id="22" w:name="_Toc26255"/>
      <w:r>
        <w:rPr>
          <w:rFonts w:hint="eastAsia" w:asciiTheme="minorEastAsia" w:hAnsiTheme="minorEastAsia" w:eastAsiaTheme="minorEastAsia" w:cstheme="minorEastAsia"/>
          <w:b/>
          <w:bCs/>
          <w:i w:val="0"/>
          <w:iCs w:val="0"/>
          <w:caps w:val="0"/>
          <w:color w:val="000000"/>
          <w:spacing w:val="0"/>
          <w:sz w:val="32"/>
          <w:szCs w:val="32"/>
          <w:shd w:val="clear" w:fill="FFFFFF"/>
        </w:rPr>
        <w:t>第四部分 名词解释</w:t>
      </w:r>
      <w:bookmarkEnd w:id="2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（一）基本支出：指为保障机构正常运转、完成日常工作任务而发生的人员支出和公用支出。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（二）项目支出：指在基本支出之外为完成特定行政任务和事业发展目标</w:t>
      </w:r>
      <w:r>
        <w:rPr>
          <w:rFonts w:hint="eastAsia" w:asciiTheme="minorEastAsia" w:hAnsiTheme="minorEastAsia" w:cstheme="minorEastAsia"/>
          <w:b w:val="0"/>
          <w:bCs w:val="0"/>
          <w:i w:val="0"/>
          <w:iCs w:val="0"/>
          <w:caps w:val="0"/>
          <w:color w:val="000000"/>
          <w:spacing w:val="0"/>
          <w:sz w:val="28"/>
          <w:szCs w:val="28"/>
          <w:shd w:val="clear" w:fill="FFFFFF"/>
          <w:lang w:eastAsia="zh-CN"/>
        </w:rPr>
        <w:t>所发</w:t>
      </w:r>
      <w:r>
        <w:rPr>
          <w:rFonts w:hint="eastAsia" w:asciiTheme="minorEastAsia" w:hAnsiTheme="minorEastAsia" w:eastAsiaTheme="minorEastAsia" w:cstheme="minorEastAsia"/>
          <w:b w:val="0"/>
          <w:bCs w:val="0"/>
          <w:i w:val="0"/>
          <w:iCs w:val="0"/>
          <w:caps w:val="0"/>
          <w:color w:val="000000"/>
          <w:spacing w:val="0"/>
          <w:sz w:val="28"/>
          <w:szCs w:val="28"/>
          <w:shd w:val="clear" w:fill="FFFFFF"/>
        </w:rPr>
        <w:t>生的支出。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（四）机关运行经费：指行政单位和参照公务员法管理的事业单位使用一般公共预算安排的基本支出中的公用经费支出。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（五）政府采购：指各级国家机关、事业单位和团体组织使用财政性资金采购依法制定的集中采购目录以内的或者采购限额标准以上的货物、工程和服务的行为。</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大同市紧急医疗救援中心</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2022年3月14日</w:t>
      </w:r>
    </w:p>
    <w:bookmarkEnd w:id="23"/>
    <w:sectPr>
      <w:footerReference r:id="rId3"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AA34B0-EB0E-49E5-A9ED-4CAAC2378F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F86E377-F29D-4D78-BE37-D328BE13B104}"/>
  </w:font>
  <w:font w:name="方正小标宋简体">
    <w:panose1 w:val="02000000000000000000"/>
    <w:charset w:val="86"/>
    <w:family w:val="auto"/>
    <w:pitch w:val="default"/>
    <w:sig w:usb0="00000001" w:usb1="08000000" w:usb2="00000000" w:usb3="00000000" w:csb0="00040000" w:csb1="00000000"/>
    <w:embedRegular r:id="rId3" w:fontKey="{67E7024F-D710-4352-8D09-AE94FC3BBDC5}"/>
  </w:font>
  <w:font w:name="仿宋_GB2312">
    <w:altName w:val="仿宋"/>
    <w:panose1 w:val="02010609030101010101"/>
    <w:charset w:val="86"/>
    <w:family w:val="auto"/>
    <w:pitch w:val="default"/>
    <w:sig w:usb0="00000000" w:usb1="00000000" w:usb2="00000000" w:usb3="00000000" w:csb0="00040000" w:csb1="00000000"/>
    <w:embedRegular r:id="rId4" w:fontKey="{63BB1F15-38D5-4099-AB77-75D4E7D19D87}"/>
  </w:font>
  <w:font w:name="楷体">
    <w:panose1 w:val="02010609060101010101"/>
    <w:charset w:val="86"/>
    <w:family w:val="modern"/>
    <w:pitch w:val="default"/>
    <w:sig w:usb0="800002BF" w:usb1="38CF7CFA" w:usb2="00000016" w:usb3="00000000" w:csb0="00040001" w:csb1="00000000"/>
    <w:embedRegular r:id="rId5" w:fontKey="{BBBAD727-19AD-4BAC-896C-BC11F59D2FCA}"/>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4F074"/>
    <w:multiLevelType w:val="singleLevel"/>
    <w:tmpl w:val="04F4F074"/>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M2VhMDdiZjMyMDIwMjAzMjgyYzhjNTA2NDIyNTEifQ=="/>
  </w:docVars>
  <w:rsids>
    <w:rsidRoot w:val="00000000"/>
    <w:rsid w:val="0585254D"/>
    <w:rsid w:val="094022E9"/>
    <w:rsid w:val="0CE77D59"/>
    <w:rsid w:val="0D626255"/>
    <w:rsid w:val="0D78730D"/>
    <w:rsid w:val="0F226791"/>
    <w:rsid w:val="13416406"/>
    <w:rsid w:val="173B5246"/>
    <w:rsid w:val="1C786399"/>
    <w:rsid w:val="1E5D25D2"/>
    <w:rsid w:val="20ED77DE"/>
    <w:rsid w:val="27C93F1A"/>
    <w:rsid w:val="2AE03A50"/>
    <w:rsid w:val="3034339A"/>
    <w:rsid w:val="30534AD8"/>
    <w:rsid w:val="3518676F"/>
    <w:rsid w:val="35433A23"/>
    <w:rsid w:val="35F449A7"/>
    <w:rsid w:val="367B0D63"/>
    <w:rsid w:val="37B207B5"/>
    <w:rsid w:val="3C141BA5"/>
    <w:rsid w:val="3C9F665C"/>
    <w:rsid w:val="3CEE367F"/>
    <w:rsid w:val="3DBF1E7D"/>
    <w:rsid w:val="3ED5122D"/>
    <w:rsid w:val="41FA2DA6"/>
    <w:rsid w:val="43F11A46"/>
    <w:rsid w:val="444F3386"/>
    <w:rsid w:val="49690DA2"/>
    <w:rsid w:val="499A0A42"/>
    <w:rsid w:val="4AEC003B"/>
    <w:rsid w:val="4B5F727D"/>
    <w:rsid w:val="50755CF5"/>
    <w:rsid w:val="516E3547"/>
    <w:rsid w:val="60CE65FF"/>
    <w:rsid w:val="6E25722B"/>
    <w:rsid w:val="7EB632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spacing w:line="240" w:lineRule="auto"/>
      <w:ind w:firstLine="640" w:firstLineChars="200"/>
      <w:jc w:val="left"/>
      <w:outlineLvl w:val="1"/>
    </w:pPr>
    <w:rPr>
      <w:rFonts w:ascii="黑体" w:hAnsi="黑体" w:eastAsia="黑体" w:cs="Times New Roman"/>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style>
  <w:style w:type="paragraph" w:styleId="5">
    <w:name w:val="Body Text"/>
    <w:basedOn w:val="1"/>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2020</Words>
  <Characters>2217</Characters>
  <Lines>0</Lines>
  <Paragraphs>0</Paragraphs>
  <TotalTime>0</TotalTime>
  <ScaleCrop>false</ScaleCrop>
  <LinksUpToDate>false</LinksUpToDate>
  <CharactersWithSpaces>2254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CL</dc:creator>
  <cp:lastModifiedBy>Asimilar</cp:lastModifiedBy>
  <dcterms:modified xsi:type="dcterms:W3CDTF">2024-04-25T10:00:07Z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727F376627CF41BB96DE5EBF97452760</vt:lpwstr>
  </property>
</Properties>
</file>