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2023年7月水神堂泉、寺庄、秀女桥3个断面断流。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ge">
              <wp:posOffset>2915920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断流断面占比为20.00%，无重度污染（劣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全市总体水质为轻度污染，主要污染指标为COD、总磷、氟化物、高锰酸盐指数、生化需氧量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7月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>
      <w:bookmarkStart w:id="0" w:name="_GoBack"/>
      <w:bookmarkEnd w:id="0"/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4DC6078"/>
    <w:rsid w:val="555A0DAF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Ⅰ-Ⅲ类水质断面</c:v>
                </c:pt>
                <c:pt idx="1">
                  <c:v>Ⅳ类水质断面</c:v>
                </c:pt>
                <c:pt idx="2">
                  <c:v>Ⅴ类水质断面</c:v>
                </c:pt>
                <c:pt idx="3">
                  <c:v>断流断面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0.4667</c:v>
                </c:pt>
                <c:pt idx="1">
                  <c:v>0.2667</c:v>
                </c:pt>
                <c:pt idx="2">
                  <c:v>0.0666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531</Characters>
  <Lines>3</Lines>
  <Paragraphs>1</Paragraphs>
  <TotalTime>12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2023-08-08T08:35:42Z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E05B301CDC3D439291CA4253BD098C79</vt:lpwstr>
  </property>
</Properties>
</file>