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B84B8">
      <w:pPr>
        <w:jc w:val="both"/>
        <w:rPr>
          <w:rFonts w:hint="eastAsia" w:ascii="宋体" w:hAnsi="宋体" w:eastAsia="宋体" w:cs="宋体"/>
          <w:sz w:val="44"/>
          <w:szCs w:val="44"/>
        </w:rPr>
      </w:pPr>
    </w:p>
    <w:p w14:paraId="615F519F">
      <w:pPr>
        <w:jc w:val="both"/>
        <w:rPr>
          <w:rFonts w:hint="eastAsia" w:ascii="宋体" w:hAnsi="宋体" w:eastAsia="宋体" w:cs="宋体"/>
          <w:sz w:val="44"/>
          <w:szCs w:val="44"/>
        </w:rPr>
      </w:pPr>
    </w:p>
    <w:p w14:paraId="016F1A6F">
      <w:pPr>
        <w:jc w:val="both"/>
        <w:rPr>
          <w:rFonts w:hint="eastAsia" w:ascii="宋体" w:hAnsi="宋体" w:eastAsia="宋体" w:cs="宋体"/>
          <w:sz w:val="44"/>
          <w:szCs w:val="44"/>
        </w:rPr>
      </w:pPr>
    </w:p>
    <w:p w14:paraId="5468A018">
      <w:pPr>
        <w:ind w:left="0" w:leftChars="0" w:firstLine="0" w:firstLineChars="0"/>
        <w:jc w:val="center"/>
        <w:rPr>
          <w:rFonts w:hint="eastAsia" w:ascii="宋体" w:hAnsi="宋体" w:eastAsia="宋体" w:cs="宋体"/>
          <w:sz w:val="44"/>
          <w:szCs w:val="44"/>
        </w:rPr>
      </w:pPr>
      <w:r>
        <w:rPr>
          <w:rFonts w:hint="eastAsia" w:ascii="宋体" w:hAnsi="宋体" w:eastAsia="宋体" w:cs="宋体"/>
          <w:sz w:val="44"/>
          <w:szCs w:val="44"/>
        </w:rPr>
        <w:t>大同市城市停车设</w:t>
      </w:r>
      <w:bookmarkStart w:id="0" w:name="_GoBack"/>
      <w:bookmarkEnd w:id="0"/>
      <w:r>
        <w:rPr>
          <w:rFonts w:hint="eastAsia" w:ascii="宋体" w:hAnsi="宋体" w:eastAsia="宋体" w:cs="宋体"/>
          <w:sz w:val="44"/>
          <w:szCs w:val="44"/>
        </w:rPr>
        <w:t>施管理规定</w:t>
      </w:r>
    </w:p>
    <w:p w14:paraId="639C8623">
      <w:pPr>
        <w:ind w:left="0" w:leftChars="0" w:firstLine="640" w:firstLineChars="200"/>
        <w:rPr>
          <w:rFonts w:hint="eastAsia" w:ascii="宋体" w:hAnsi="宋体" w:eastAsia="宋体" w:cs="宋体"/>
          <w:sz w:val="32"/>
          <w:szCs w:val="32"/>
        </w:rPr>
      </w:pPr>
    </w:p>
    <w:p w14:paraId="3F9AEDEE">
      <w:pPr>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第一章　总　则</w:t>
      </w:r>
    </w:p>
    <w:p w14:paraId="459D9611">
      <w:pPr>
        <w:ind w:left="0" w:leftChars="0" w:firstLine="640" w:firstLineChars="200"/>
        <w:rPr>
          <w:rFonts w:hint="eastAsia" w:ascii="黑体" w:hAnsi="黑体" w:eastAsia="黑体" w:cs="黑体"/>
          <w:sz w:val="32"/>
          <w:szCs w:val="32"/>
        </w:rPr>
      </w:pPr>
    </w:p>
    <w:p w14:paraId="2CA524A0">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第一条</w:t>
      </w:r>
      <w:r>
        <w:rPr>
          <w:rFonts w:hint="eastAsia" w:ascii="宋体" w:hAnsi="宋体" w:eastAsia="宋体" w:cs="宋体"/>
          <w:sz w:val="32"/>
          <w:szCs w:val="32"/>
        </w:rPr>
        <w:t>　为规范城市机动车停车秩序，加强机动车停车管理，改善城市停车环境和道路交通状况，保障城市道路安全畅通，用足用好城市有限停车空间，合理引导停车需求，根据有关法律、法规，结合本市实际，制定本规定。</w:t>
      </w:r>
    </w:p>
    <w:p w14:paraId="6424A0B3">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第二条</w:t>
      </w:r>
      <w:r>
        <w:rPr>
          <w:rFonts w:hint="eastAsia" w:ascii="宋体" w:hAnsi="宋体" w:eastAsia="宋体" w:cs="宋体"/>
          <w:sz w:val="32"/>
          <w:szCs w:val="32"/>
        </w:rPr>
        <w:t>　本规定适用于本市城市建成区范围内停车设施的规划、建设、使用及有关管理活动。</w:t>
      </w:r>
    </w:p>
    <w:p w14:paraId="37348834">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第三条</w:t>
      </w:r>
      <w:r>
        <w:rPr>
          <w:rFonts w:hint="eastAsia" w:ascii="宋体" w:hAnsi="宋体" w:eastAsia="宋体" w:cs="宋体"/>
          <w:sz w:val="32"/>
          <w:szCs w:val="32"/>
        </w:rPr>
        <w:t>　本规定所称城市停车设施是指为机动车停放而设置的场所、设施设备。包括公共停车场、专用停车场、临时停车场和道路停车泊位。公共汽车、道路旅客运输车辆和道路货物运输车辆等专用的停车场除外。</w:t>
      </w:r>
    </w:p>
    <w:p w14:paraId="70A00FB1">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公共停车场，是指在城市道路外，供社会公众停放车辆的场所。</w:t>
      </w:r>
    </w:p>
    <w:p w14:paraId="194869A4">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专用停车场，是指在城市道路外，仅供本单位车辆、本住宅小区业主或者其他特定对象停放车辆的场所。</w:t>
      </w:r>
    </w:p>
    <w:p w14:paraId="5BACFD67">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临时停车场，是指利用空地或者为举办大型群众性活动设置的临时停放车辆的场所。</w:t>
      </w:r>
    </w:p>
    <w:p w14:paraId="6AC15A8D">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道路停车泊位，是指依法在城市道路范围内统一施划，为公众提供机动车停放服务的临时场地，包括免费和收费道路停车泊位。</w:t>
      </w:r>
    </w:p>
    <w:p w14:paraId="329A3142">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第四条</w:t>
      </w:r>
      <w:r>
        <w:rPr>
          <w:rFonts w:hint="eastAsia" w:ascii="宋体" w:hAnsi="宋体" w:eastAsia="宋体" w:cs="宋体"/>
          <w:sz w:val="32"/>
          <w:szCs w:val="32"/>
        </w:rPr>
        <w:t>　城市停车设施的设置应当遵循“政府引导、科学规划、建管并重、安全便利”的原则。</w:t>
      </w:r>
    </w:p>
    <w:p w14:paraId="783E09DD">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第五条</w:t>
      </w:r>
      <w:r>
        <w:rPr>
          <w:rFonts w:hint="eastAsia" w:ascii="宋体" w:hAnsi="宋体" w:eastAsia="宋体" w:cs="宋体"/>
          <w:sz w:val="32"/>
          <w:szCs w:val="32"/>
        </w:rPr>
        <w:t>　市城市管理部门是城市停车设施管理的主管部门，负责城市停车设施的统筹协调和监督管理工作。</w:t>
      </w:r>
    </w:p>
    <w:p w14:paraId="6407B8FA">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市公安机关交通管理部门按照此项工作牵头部门的规划意见，负责城市道路停车泊位的施划和停车秩序管理。</w:t>
      </w:r>
    </w:p>
    <w:p w14:paraId="56D8DD05">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市发展和改革、规划和自然资源、住房和城乡建设、财政、市场监管、交通运输等部门按照各自职责，协同做好机动车停车设施管理工作。</w:t>
      </w:r>
    </w:p>
    <w:p w14:paraId="6E8DCD59">
      <w:pPr>
        <w:ind w:left="0" w:leftChars="0" w:firstLine="640" w:firstLineChars="200"/>
        <w:rPr>
          <w:rFonts w:hint="eastAsia" w:ascii="宋体" w:hAnsi="宋体" w:eastAsia="宋体" w:cs="宋体"/>
          <w:sz w:val="32"/>
          <w:szCs w:val="32"/>
        </w:rPr>
      </w:pPr>
    </w:p>
    <w:p w14:paraId="6608D163">
      <w:pPr>
        <w:ind w:left="0" w:leftChars="0" w:firstLine="640" w:firstLineChars="200"/>
        <w:jc w:val="center"/>
        <w:rPr>
          <w:rFonts w:hint="eastAsia" w:ascii="黑体" w:hAnsi="黑体" w:eastAsia="黑体" w:cs="黑体"/>
          <w:sz w:val="32"/>
          <w:szCs w:val="32"/>
        </w:rPr>
      </w:pPr>
      <w:r>
        <w:rPr>
          <w:rFonts w:hint="eastAsia" w:ascii="黑体" w:hAnsi="黑体" w:eastAsia="黑体" w:cs="黑体"/>
          <w:sz w:val="32"/>
          <w:szCs w:val="32"/>
        </w:rPr>
        <w:t>第二章　停车设施规划与建设</w:t>
      </w:r>
    </w:p>
    <w:p w14:paraId="22747BF0">
      <w:pPr>
        <w:rPr>
          <w:rFonts w:hint="eastAsia" w:ascii="宋体" w:hAnsi="宋体" w:eastAsia="宋体" w:cs="宋体"/>
          <w:sz w:val="32"/>
          <w:szCs w:val="32"/>
        </w:rPr>
      </w:pPr>
    </w:p>
    <w:p w14:paraId="72E9FC9D">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第六条</w:t>
      </w:r>
      <w:r>
        <w:rPr>
          <w:rFonts w:hint="eastAsia" w:ascii="宋体" w:hAnsi="宋体" w:eastAsia="宋体" w:cs="宋体"/>
          <w:sz w:val="32"/>
          <w:szCs w:val="32"/>
        </w:rPr>
        <w:t>　市城市管理部门应当会同市规划和自然资源、公安机关交通管理等部门，根据城市总体规划、交通发展规划和停车需求，编制城市停车设施专项规划，报市人民政府批准后实施。停车设施建设要严格按建设程序实施，符合规划要求。</w:t>
      </w:r>
    </w:p>
    <w:p w14:paraId="165B8F4E">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第七条</w:t>
      </w:r>
      <w:r>
        <w:rPr>
          <w:rFonts w:hint="eastAsia" w:ascii="宋体" w:hAnsi="宋体" w:eastAsia="宋体" w:cs="宋体"/>
          <w:sz w:val="32"/>
          <w:szCs w:val="32"/>
        </w:rPr>
        <w:t>　新建、改建、扩建建筑物应当按照国家和本省、市有关规定配建停车设施，并与主体工程同步设计、同步施工、同步验收、同步交付使用。建筑物改变功能的，已配建停车场不得挪作他用；已配建停车场达不到改变功能后配建停车位标准的，应当按照改变功能后的标准配建停车场或者增加停车位。</w:t>
      </w:r>
    </w:p>
    <w:p w14:paraId="42119AC2">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第八条</w:t>
      </w:r>
      <w:r>
        <w:rPr>
          <w:rFonts w:hint="eastAsia" w:ascii="宋体" w:hAnsi="宋体" w:eastAsia="宋体" w:cs="宋体"/>
          <w:sz w:val="32"/>
          <w:szCs w:val="32"/>
        </w:rPr>
        <w:t>　按照“谁投资、谁受益”的原则鼓励社会资本参与停车设施建设与经营管理，实行停车位有偿使用。支持利用地下空间、闲置土地、边角地等建设停车设施。</w:t>
      </w:r>
    </w:p>
    <w:p w14:paraId="2A46E06D">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第九条</w:t>
      </w:r>
      <w:r>
        <w:rPr>
          <w:rFonts w:hint="eastAsia" w:ascii="宋体" w:hAnsi="宋体" w:eastAsia="宋体" w:cs="宋体"/>
          <w:sz w:val="32"/>
          <w:szCs w:val="32"/>
        </w:rPr>
        <w:t>　停车设施建设应当符合国家和省市相关标准，配备必要的基础设施，确保停车安全。</w:t>
      </w:r>
    </w:p>
    <w:p w14:paraId="4E2B21AF">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停车场应当安装公共安全视频监控设备，保证监控系统全覆盖、无死角。</w:t>
      </w:r>
    </w:p>
    <w:p w14:paraId="1260B0F4">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停车场应当按照标准配建停车诱导设施和诱导子系统等智能化停车设施、设备，并与城市智慧停车诱导系统互联互通。</w:t>
      </w:r>
    </w:p>
    <w:p w14:paraId="5B94D629">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停车场应当配备常规照明设备和感应照明设备，满足停车场内的照明需求。</w:t>
      </w:r>
    </w:p>
    <w:p w14:paraId="6F271087">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第十条</w:t>
      </w:r>
      <w:r>
        <w:rPr>
          <w:rFonts w:hint="eastAsia" w:ascii="宋体" w:hAnsi="宋体" w:eastAsia="宋体" w:cs="宋体"/>
          <w:sz w:val="32"/>
          <w:szCs w:val="32"/>
        </w:rPr>
        <w:t>　公共停车场规模应依据用地规划指标、服务对象、建筑形式、停放方式等因素，选取标准车辆停放面积或停放建筑面积进行确定。公共停车场的交通组织规划设计中应明确出入口数量、位置及交通组织方式。</w:t>
      </w:r>
    </w:p>
    <w:p w14:paraId="134A9FA0">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第十一条</w:t>
      </w:r>
      <w:r>
        <w:rPr>
          <w:rFonts w:hint="eastAsia" w:ascii="宋体" w:hAnsi="宋体" w:eastAsia="宋体" w:cs="宋体"/>
          <w:sz w:val="32"/>
          <w:szCs w:val="32"/>
        </w:rPr>
        <w:t>　停车场应按不低于总车位数10％的比例预留新能源车辆充电设施安装条件，已建成停车场应按规范标准逐步改造完善。</w:t>
      </w:r>
    </w:p>
    <w:p w14:paraId="564C802C">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第十二条</w:t>
      </w:r>
      <w:r>
        <w:rPr>
          <w:rFonts w:hint="eastAsia" w:ascii="宋体" w:hAnsi="宋体" w:eastAsia="宋体" w:cs="宋体"/>
          <w:sz w:val="32"/>
          <w:szCs w:val="32"/>
        </w:rPr>
        <w:t>　停车场应按不低于总车位数1％的比例设置无障碍停车位，地面标注明显标识，并配套轮椅通道，便利残疾人合理使用专用车位。</w:t>
      </w:r>
    </w:p>
    <w:p w14:paraId="758D5822">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第十三条</w:t>
      </w:r>
      <w:r>
        <w:rPr>
          <w:rFonts w:hint="eastAsia" w:ascii="宋体" w:hAnsi="宋体" w:eastAsia="宋体" w:cs="宋体"/>
          <w:sz w:val="32"/>
          <w:szCs w:val="32"/>
        </w:rPr>
        <w:t>　地面停车场在不影响停车的情况下应当采用高大乔木、绿植作为与周边其他性质用地的隔离，在满足停车要求的条件下，应当在停车场内种植高大乔木形成树阵，创造绿荫停车环境，停车位宜采用雨水入渗的透水铺装。</w:t>
      </w:r>
    </w:p>
    <w:p w14:paraId="5F240294">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第十四条</w:t>
      </w:r>
      <w:r>
        <w:rPr>
          <w:rFonts w:hint="eastAsia" w:ascii="宋体" w:hAnsi="宋体" w:eastAsia="宋体" w:cs="宋体"/>
          <w:sz w:val="32"/>
          <w:szCs w:val="32"/>
        </w:rPr>
        <w:t>　任何单位和个人不得擅自设置道路停车泊位，不得擅自将停车设施改为其他用途，不得擅自占用道路停车泊位从事经营活动，不得在道路上使用地桩、地锁、锥筒等物体妨碍车辆停放和通行。</w:t>
      </w:r>
    </w:p>
    <w:p w14:paraId="62EBFABB">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第十五条</w:t>
      </w:r>
      <w:r>
        <w:rPr>
          <w:rFonts w:hint="eastAsia" w:ascii="宋体" w:hAnsi="宋体" w:eastAsia="宋体" w:cs="宋体"/>
          <w:sz w:val="32"/>
          <w:szCs w:val="32"/>
        </w:rPr>
        <w:t>　市城市管理部门应当加强宣传引导，充分利用各种媒体平台，广泛宣传停车场管理相关法律法规政策，引导市民规范停车、文明停车，营造良好的停车环境。</w:t>
      </w:r>
    </w:p>
    <w:p w14:paraId="01F1435B">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第十六条</w:t>
      </w:r>
      <w:r>
        <w:rPr>
          <w:rFonts w:hint="eastAsia" w:ascii="宋体" w:hAnsi="宋体" w:eastAsia="宋体" w:cs="宋体"/>
          <w:sz w:val="32"/>
          <w:szCs w:val="32"/>
        </w:rPr>
        <w:t>　市城市管理部门应当积极推进建设城市级智慧停车平台，整合全市停车资源信息，实现停车信息查询、车位预约、电子支付等功能，为市民提供便捷的停车服务。鼓励停车场采用车牌识别、车位引导、无感支付等先进技术，提高停车效率和管理水平。推动停车数据与城市交通管理平台互联互通，为交通规划、政策制定提供数据支撑。</w:t>
      </w:r>
    </w:p>
    <w:p w14:paraId="0CC2EBDD">
      <w:pPr>
        <w:ind w:left="0" w:leftChars="0" w:firstLine="640" w:firstLineChars="200"/>
        <w:rPr>
          <w:rFonts w:hint="eastAsia" w:ascii="宋体" w:hAnsi="宋体" w:eastAsia="宋体" w:cs="宋体"/>
          <w:sz w:val="32"/>
          <w:szCs w:val="32"/>
        </w:rPr>
      </w:pPr>
    </w:p>
    <w:p w14:paraId="3EE6CEAD">
      <w:pPr>
        <w:ind w:left="0" w:leftChars="0" w:firstLine="640" w:firstLineChars="200"/>
        <w:jc w:val="center"/>
        <w:rPr>
          <w:rFonts w:hint="eastAsia" w:ascii="黑体" w:hAnsi="黑体" w:eastAsia="黑体" w:cs="黑体"/>
          <w:sz w:val="32"/>
          <w:szCs w:val="32"/>
        </w:rPr>
      </w:pPr>
      <w:r>
        <w:rPr>
          <w:rFonts w:hint="eastAsia" w:ascii="黑体" w:hAnsi="黑体" w:eastAsia="黑体" w:cs="黑体"/>
          <w:sz w:val="32"/>
          <w:szCs w:val="32"/>
        </w:rPr>
        <w:t>第三章　停车设施运营与管理</w:t>
      </w:r>
    </w:p>
    <w:p w14:paraId="74128295">
      <w:pPr>
        <w:ind w:left="0" w:leftChars="0" w:firstLine="640" w:firstLineChars="200"/>
        <w:rPr>
          <w:rFonts w:hint="eastAsia" w:ascii="宋体" w:hAnsi="宋体" w:eastAsia="宋体" w:cs="宋体"/>
          <w:sz w:val="32"/>
          <w:szCs w:val="32"/>
        </w:rPr>
      </w:pPr>
    </w:p>
    <w:p w14:paraId="10B7A533">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第十七条　经营性停车场实行备案管理制度。经营性停车场应当向市城市管理部门进行备案，报送下列相关材料：备案登记表、营业执照复印件、土地产权证明、建设工程规划许可证、竣工验收报告、总平面布置图、承诺书等。</w:t>
      </w:r>
    </w:p>
    <w:p w14:paraId="3E694A3D">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第十八条</w:t>
      </w:r>
      <w:r>
        <w:rPr>
          <w:rFonts w:hint="eastAsia" w:ascii="宋体" w:hAnsi="宋体" w:eastAsia="宋体" w:cs="宋体"/>
          <w:sz w:val="32"/>
          <w:szCs w:val="32"/>
        </w:rPr>
        <w:t>　公共停车场和道路停车泊位的使用应当遵循以下规定：</w:t>
      </w:r>
    </w:p>
    <w:p w14:paraId="46715BA6">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（一）公共停车场应当向社会开放，不得擅自改变用途；</w:t>
      </w:r>
    </w:p>
    <w:p w14:paraId="3B92CA58">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（二）道路停车泊位应当根据交通状况和停车需求合理设置，实行分类管理；</w:t>
      </w:r>
    </w:p>
    <w:p w14:paraId="29A90558">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（三）停车位应根据不同区域和功能划分，依据国家标准进行施划。</w:t>
      </w:r>
    </w:p>
    <w:p w14:paraId="6AE40FB1">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第十九条</w:t>
      </w:r>
      <w:r>
        <w:rPr>
          <w:rFonts w:hint="eastAsia" w:ascii="宋体" w:hAnsi="宋体" w:eastAsia="宋体" w:cs="宋体"/>
          <w:sz w:val="32"/>
          <w:szCs w:val="32"/>
        </w:rPr>
        <w:t>　停车设施经营者应当遵守下列规定：</w:t>
      </w:r>
    </w:p>
    <w:p w14:paraId="64700855">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（一）建立健全停车设施管理制度，配备专职管理人员；</w:t>
      </w:r>
    </w:p>
    <w:p w14:paraId="005647D1">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（二）设置明显的停车标志、标线和收费标准公示牌；</w:t>
      </w:r>
    </w:p>
    <w:p w14:paraId="5126CE4F">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（三）维护停车设施设备完好，保持环境卫生整洁；</w:t>
      </w:r>
    </w:p>
    <w:p w14:paraId="7C444E73">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（四）依法收取停车费用，出具合法票据；</w:t>
      </w:r>
    </w:p>
    <w:p w14:paraId="7987431E">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（五）协助公安机关交通管理部门维护停车秩序。</w:t>
      </w:r>
    </w:p>
    <w:p w14:paraId="5FE14151">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第二十条</w:t>
      </w:r>
      <w:r>
        <w:rPr>
          <w:rFonts w:hint="eastAsia" w:ascii="宋体" w:hAnsi="宋体" w:eastAsia="宋体" w:cs="宋体"/>
          <w:sz w:val="32"/>
          <w:szCs w:val="32"/>
        </w:rPr>
        <w:t>　停车场可以由停车场产权人自行管理，也可以以出租等方式委托专业停车场服务机构管理。</w:t>
      </w:r>
    </w:p>
    <w:p w14:paraId="5E06E4E0">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第二十一条</w:t>
      </w:r>
      <w:r>
        <w:rPr>
          <w:rFonts w:hint="eastAsia" w:ascii="宋体" w:hAnsi="宋体" w:eastAsia="宋体" w:cs="宋体"/>
          <w:sz w:val="32"/>
          <w:szCs w:val="32"/>
        </w:rPr>
        <w:t>　未经主管部门同意，任何单位和个人不得擅自变更经营性停车场的用途；确须变更，停车场运营单位应当及时到有关部门办理相关手续。</w:t>
      </w:r>
    </w:p>
    <w:p w14:paraId="29CB04A4">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第二十二条</w:t>
      </w:r>
      <w:r>
        <w:rPr>
          <w:rFonts w:hint="eastAsia" w:ascii="宋体" w:hAnsi="宋体" w:eastAsia="宋体" w:cs="宋体"/>
          <w:sz w:val="32"/>
          <w:szCs w:val="32"/>
        </w:rPr>
        <w:t>　鼓励机关、事业、国有企业单位停车场在非工作时间向社会开放，开放时段、收费标准由管理单位按相关规定根据各单位实际情况确定执行，同时应当进行公示。</w:t>
      </w:r>
    </w:p>
    <w:p w14:paraId="4E420FC8">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第二十三条</w:t>
      </w:r>
      <w:r>
        <w:rPr>
          <w:rFonts w:hint="eastAsia" w:ascii="宋体" w:hAnsi="宋体" w:eastAsia="宋体" w:cs="宋体"/>
          <w:sz w:val="32"/>
          <w:szCs w:val="32"/>
        </w:rPr>
        <w:t>　机动车驾驶人使用停车设施时应当遵守下列规定：</w:t>
      </w:r>
    </w:p>
    <w:p w14:paraId="21C5CD81">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（一）按照标志、标线停放车辆，不得占用消防通道、盲道等禁止停车区域；</w:t>
      </w:r>
    </w:p>
    <w:p w14:paraId="3D7D9FD1">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（二）在收费停车设施停放车辆的，应当按照规定缴纳停车费用；</w:t>
      </w:r>
    </w:p>
    <w:p w14:paraId="08DB92F1">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三）燃油车须按规定停放，不得占用电车专用车位，如有违规占用情形，运营管理方有权按照计费规则收取充电专用车位占用费；新能源车辆在充电区域停车充电至满电后，应在规定的合理时间内驶离，无正当理由超时占用车位，运营管理方有权按照计费规则收取占用费；</w:t>
      </w:r>
    </w:p>
    <w:p w14:paraId="04BACC15">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（四）不得损坏停车设施设备；</w:t>
      </w:r>
    </w:p>
    <w:p w14:paraId="2C0947A7">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（五）服从管理人员指挥，维护停车秩序。</w:t>
      </w:r>
    </w:p>
    <w:p w14:paraId="6765B799">
      <w:pPr>
        <w:ind w:left="0" w:leftChars="0" w:firstLine="640" w:firstLineChars="200"/>
        <w:rPr>
          <w:rFonts w:hint="eastAsia" w:ascii="宋体" w:hAnsi="宋体" w:eastAsia="宋体" w:cs="宋体"/>
          <w:sz w:val="32"/>
          <w:szCs w:val="32"/>
        </w:rPr>
      </w:pPr>
    </w:p>
    <w:p w14:paraId="16B9DE51">
      <w:pPr>
        <w:ind w:left="0" w:leftChars="0" w:firstLine="640" w:firstLineChars="200"/>
        <w:jc w:val="center"/>
        <w:rPr>
          <w:rFonts w:hint="eastAsia" w:ascii="黑体" w:hAnsi="黑体" w:eastAsia="黑体" w:cs="黑体"/>
          <w:sz w:val="32"/>
          <w:szCs w:val="32"/>
        </w:rPr>
      </w:pPr>
      <w:r>
        <w:rPr>
          <w:rFonts w:hint="eastAsia" w:ascii="黑体" w:hAnsi="黑体" w:eastAsia="黑体" w:cs="黑体"/>
          <w:sz w:val="32"/>
          <w:szCs w:val="32"/>
        </w:rPr>
        <w:t>第四章　道路停车泊位管理</w:t>
      </w:r>
    </w:p>
    <w:p w14:paraId="61DF29EA">
      <w:pPr>
        <w:ind w:left="0" w:leftChars="0" w:firstLine="640" w:firstLineChars="200"/>
        <w:rPr>
          <w:rFonts w:hint="eastAsia" w:ascii="黑体" w:hAnsi="黑体" w:eastAsia="黑体" w:cs="黑体"/>
          <w:sz w:val="32"/>
          <w:szCs w:val="32"/>
        </w:rPr>
      </w:pPr>
    </w:p>
    <w:p w14:paraId="40CB0D26">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第二十四条</w:t>
      </w:r>
      <w:r>
        <w:rPr>
          <w:rFonts w:hint="eastAsia" w:ascii="宋体" w:hAnsi="宋体" w:eastAsia="宋体" w:cs="宋体"/>
          <w:sz w:val="32"/>
          <w:szCs w:val="32"/>
        </w:rPr>
        <w:t>　道路停车泊位的施划应当符合以下要求：</w:t>
      </w:r>
    </w:p>
    <w:p w14:paraId="6457FF31">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（一）保障道路交通安全和畅通；</w:t>
      </w:r>
    </w:p>
    <w:p w14:paraId="20F8F591">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（二）不影响行人、非机动车通行；</w:t>
      </w:r>
    </w:p>
    <w:p w14:paraId="7673F1A5">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（三）符合国家和省市相关标准。</w:t>
      </w:r>
    </w:p>
    <w:p w14:paraId="3DA69AED">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第二十五条</w:t>
      </w:r>
      <w:r>
        <w:rPr>
          <w:rFonts w:hint="eastAsia" w:ascii="宋体" w:hAnsi="宋体" w:eastAsia="宋体" w:cs="宋体"/>
          <w:sz w:val="32"/>
          <w:szCs w:val="32"/>
        </w:rPr>
        <w:t>　下列区域禁止施划道路停车泊位：</w:t>
      </w:r>
    </w:p>
    <w:p w14:paraId="053222A5">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（一）主干路的主道和快速路；</w:t>
      </w:r>
    </w:p>
    <w:p w14:paraId="79B31644">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（二）双向通行宽度小于八米、单向通行宽度小于六米的机动车道；</w:t>
      </w:r>
    </w:p>
    <w:p w14:paraId="684F230D">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（三）消防通道、盲道、无障碍坡道；</w:t>
      </w:r>
    </w:p>
    <w:p w14:paraId="5AB5898D">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（四）不能保证预留二米以上通道的人行道（人非共板除外）；</w:t>
      </w:r>
    </w:p>
    <w:p w14:paraId="4C6F67B4">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（五）法律法规规定的其他禁止区域。</w:t>
      </w:r>
    </w:p>
    <w:p w14:paraId="3F8162B7">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第二十六条</w:t>
      </w:r>
      <w:r>
        <w:rPr>
          <w:rFonts w:hint="eastAsia" w:ascii="宋体" w:hAnsi="宋体" w:eastAsia="宋体" w:cs="宋体"/>
          <w:sz w:val="32"/>
          <w:szCs w:val="32"/>
        </w:rPr>
        <w:t>　市城市管理部门应当会同市公安机关交通管理等有关部门对道路停车泊位开展年度评估工作。根据道路停车泊位施划方案、评估结果、公众需求、道路交通状况、周边停车场设置等情况对道路停车泊位进行调整，并向社会公示。</w:t>
      </w:r>
    </w:p>
    <w:p w14:paraId="227E3BCE">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第二十七条</w:t>
      </w:r>
      <w:r>
        <w:rPr>
          <w:rFonts w:hint="eastAsia" w:ascii="宋体" w:hAnsi="宋体" w:eastAsia="宋体" w:cs="宋体"/>
          <w:sz w:val="32"/>
          <w:szCs w:val="32"/>
        </w:rPr>
        <w:t>　有下列情形之一的，市城市管理部门可以撤除或者调整道路停车泊位：</w:t>
      </w:r>
    </w:p>
    <w:p w14:paraId="6B73F387">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（一）道路交通状况发生变化，影响车辆、行人正常通行的；</w:t>
      </w:r>
    </w:p>
    <w:p w14:paraId="16222C01">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（二）道路周边的公共停车场能满足停车需要的；</w:t>
      </w:r>
    </w:p>
    <w:p w14:paraId="420AD49A">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（三）道路状况发生变化不适合停放车辆的；</w:t>
      </w:r>
    </w:p>
    <w:p w14:paraId="17E3689F">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（四）应当撤除或者调整道路停车泊位的其他情形。</w:t>
      </w:r>
    </w:p>
    <w:p w14:paraId="55556B2B">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第二十八条</w:t>
      </w:r>
      <w:r>
        <w:rPr>
          <w:rFonts w:hint="eastAsia" w:ascii="宋体" w:hAnsi="宋体" w:eastAsia="宋体" w:cs="宋体"/>
          <w:sz w:val="32"/>
          <w:szCs w:val="32"/>
        </w:rPr>
        <w:t>　居民区周边具备夜间、节假日等时段性停车条件的道路，在不影响通行的条件下，市城市管理部门可以设置限时段免费道路停车泊位。</w:t>
      </w:r>
    </w:p>
    <w:p w14:paraId="50036562">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大型商场、购物中心、商品批发市场等商业区和大型医疗机构、旅游景区、客流物流集散地等周边主要路段可以设置收费道路停车泊位。</w:t>
      </w:r>
    </w:p>
    <w:p w14:paraId="68E9C6CA">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第二十九条</w:t>
      </w:r>
      <w:r>
        <w:rPr>
          <w:rFonts w:hint="eastAsia" w:ascii="宋体" w:hAnsi="宋体" w:eastAsia="宋体" w:cs="宋体"/>
          <w:sz w:val="32"/>
          <w:szCs w:val="32"/>
        </w:rPr>
        <w:t>　市城市管理部门会同市公安机关交通管理部门，在不影响通行的情况下，可以在机场、火车站、长途汽车客运站、中小学校、幼儿园、医院、公共卫生间以及其他客流集中的公共场所周边道路，设置短时免费的临停快走区域，用于车辆临时停靠上下乘客。临停快走区域应当在显著位置设置醒目标志、标识。</w:t>
      </w:r>
    </w:p>
    <w:p w14:paraId="5E31AD78">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第三十条</w:t>
      </w:r>
      <w:r>
        <w:rPr>
          <w:rFonts w:hint="eastAsia" w:ascii="宋体" w:hAnsi="宋体" w:eastAsia="宋体" w:cs="宋体"/>
          <w:sz w:val="32"/>
          <w:szCs w:val="32"/>
        </w:rPr>
        <w:t>　道路停车泊位收费标准应当按照“路内高于路外、地面高于立体、中心高于外围、白天高于夜间、重点区域高于非重点区域、繁忙时段高于空闲时段”的原则确定。</w:t>
      </w:r>
    </w:p>
    <w:p w14:paraId="00CC1077">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第三十一条</w:t>
      </w:r>
      <w:r>
        <w:rPr>
          <w:rFonts w:hint="eastAsia" w:ascii="宋体" w:hAnsi="宋体" w:eastAsia="宋体" w:cs="宋体"/>
          <w:sz w:val="32"/>
          <w:szCs w:val="32"/>
        </w:rPr>
        <w:t>　道路停车泊位收费标准由市发展和改革部门依法核定。市发展和改革部门在核定道路停车泊位收费标准时，应当充分考虑道路停车泊位的临时停车属性，充分发挥停车收费价格杠杆作用，提升道路停车泊位的周转率。</w:t>
      </w:r>
    </w:p>
    <w:p w14:paraId="06CC07E9">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第三十二条</w:t>
      </w:r>
      <w:r>
        <w:rPr>
          <w:rFonts w:hint="eastAsia" w:ascii="宋体" w:hAnsi="宋体" w:eastAsia="宋体" w:cs="宋体"/>
          <w:sz w:val="32"/>
          <w:szCs w:val="32"/>
        </w:rPr>
        <w:t>　在收费道路停车泊位停车，符合下列情形之一的，免收停车泊位费：</w:t>
      </w:r>
    </w:p>
    <w:p w14:paraId="1B66BC02">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（一）在免费时段内的；</w:t>
      </w:r>
    </w:p>
    <w:p w14:paraId="3A0B5BCE">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（二）军车，执行公务的警车、消防车、抢险救灾车和喷有统一标识的执法、执勤、公务用车以及实施卫生救护、环卫保洁、园林绿化、殡葬服务、医疗废物转运、市政设施维护等车辆；</w:t>
      </w:r>
    </w:p>
    <w:p w14:paraId="329133BD">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（三）法律、法规规定的其他情形。</w:t>
      </w:r>
    </w:p>
    <w:p w14:paraId="5F6A6DCF">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第三十三条</w:t>
      </w:r>
      <w:r>
        <w:rPr>
          <w:rFonts w:hint="eastAsia" w:ascii="宋体" w:hAnsi="宋体" w:eastAsia="宋体" w:cs="宋体"/>
          <w:sz w:val="32"/>
          <w:szCs w:val="32"/>
        </w:rPr>
        <w:t>　有下列情形之一，需要暂停使用道路停车泊位的，市城市管理部门应当会同市公安机关交通管理部门决定暂停使用：</w:t>
      </w:r>
    </w:p>
    <w:p w14:paraId="4164D516">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（一）冬季道路清雪；</w:t>
      </w:r>
    </w:p>
    <w:p w14:paraId="7724CA00">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（二）紧急疏导交通；</w:t>
      </w:r>
    </w:p>
    <w:p w14:paraId="6DE43829">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（三）举办经批准的大型群众性活动；</w:t>
      </w:r>
    </w:p>
    <w:p w14:paraId="2C1F9B82">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（四）其他依法需要暂停使用的情形。</w:t>
      </w:r>
    </w:p>
    <w:p w14:paraId="5DB42CE7">
      <w:pPr>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除突发情况外需要暂停使用道路停车泊位的，市城市管理部门应当会同市公安机关交通管理部门提前予以公告。针对前款所述情形，应当依法对取得道路停车泊位有偿使用权的企业给予合理补偿。</w:t>
      </w:r>
    </w:p>
    <w:p w14:paraId="588AFBBE">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第三十四条</w:t>
      </w:r>
      <w:r>
        <w:rPr>
          <w:rFonts w:hint="eastAsia" w:ascii="宋体" w:hAnsi="宋体" w:eastAsia="宋体" w:cs="宋体"/>
          <w:sz w:val="32"/>
          <w:szCs w:val="32"/>
        </w:rPr>
        <w:t>　市人民政府负责对道路停车泊位进行管理维护，也可以采取向社会购买服务、转让有偿使用权等方式，委托专业化停车服务管理企业对道路停车泊位进行经营维护管理。</w:t>
      </w:r>
    </w:p>
    <w:p w14:paraId="10140284">
      <w:pPr>
        <w:ind w:left="0" w:leftChars="0" w:firstLine="640" w:firstLineChars="200"/>
        <w:rPr>
          <w:rFonts w:hint="eastAsia" w:ascii="宋体" w:hAnsi="宋体" w:eastAsia="宋体" w:cs="宋体"/>
          <w:sz w:val="32"/>
          <w:szCs w:val="32"/>
        </w:rPr>
      </w:pPr>
    </w:p>
    <w:p w14:paraId="70DCB92B">
      <w:pPr>
        <w:ind w:left="0" w:leftChars="0" w:firstLine="640" w:firstLineChars="200"/>
        <w:jc w:val="center"/>
        <w:rPr>
          <w:rFonts w:hint="eastAsia" w:ascii="黑体" w:hAnsi="黑体" w:eastAsia="黑体" w:cs="黑体"/>
          <w:sz w:val="32"/>
          <w:szCs w:val="32"/>
        </w:rPr>
      </w:pPr>
      <w:r>
        <w:rPr>
          <w:rFonts w:hint="eastAsia" w:ascii="黑体" w:hAnsi="黑体" w:eastAsia="黑体" w:cs="黑体"/>
          <w:sz w:val="32"/>
          <w:szCs w:val="32"/>
        </w:rPr>
        <w:t>第五章　监督与处罚</w:t>
      </w:r>
    </w:p>
    <w:p w14:paraId="02505343">
      <w:pPr>
        <w:ind w:left="0" w:leftChars="0" w:firstLine="640" w:firstLineChars="200"/>
        <w:rPr>
          <w:rFonts w:hint="eastAsia" w:ascii="宋体" w:hAnsi="宋体" w:eastAsia="宋体" w:cs="宋体"/>
          <w:sz w:val="32"/>
          <w:szCs w:val="32"/>
        </w:rPr>
      </w:pPr>
    </w:p>
    <w:p w14:paraId="37580EB1">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第三十五条</w:t>
      </w:r>
      <w:r>
        <w:rPr>
          <w:rFonts w:hint="eastAsia" w:ascii="宋体" w:hAnsi="宋体" w:eastAsia="宋体" w:cs="宋体"/>
          <w:sz w:val="32"/>
          <w:szCs w:val="32"/>
        </w:rPr>
        <w:t>　市城市管理部门应当会同有关部门对停车设施的使用和管理情况进行监督检查，对发现的问题发出整改通知，限期整改。</w:t>
      </w:r>
    </w:p>
    <w:p w14:paraId="69B3FC4E">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第三十六条</w:t>
      </w:r>
      <w:r>
        <w:rPr>
          <w:rFonts w:hint="eastAsia" w:ascii="宋体" w:hAnsi="宋体" w:eastAsia="宋体" w:cs="宋体"/>
          <w:sz w:val="32"/>
          <w:szCs w:val="32"/>
        </w:rPr>
        <w:t>　违反本规定，擅自占用道路停车泊位从事经营活动的，或者擅自设置道路停车泊位，或者在道路停车泊位上使用地桩、地锁、锥筒等物体妨碍车辆停放和通行的，由市城市管理部门责令限期改正，拒不改正的，处一百元以上五百元以下罚款。</w:t>
      </w:r>
    </w:p>
    <w:p w14:paraId="365D6CBC">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第三十七条</w:t>
      </w:r>
      <w:r>
        <w:rPr>
          <w:rFonts w:hint="eastAsia" w:ascii="宋体" w:hAnsi="宋体" w:eastAsia="宋体" w:cs="宋体"/>
          <w:sz w:val="32"/>
          <w:szCs w:val="32"/>
        </w:rPr>
        <w:t>　违反本规定，法律、法规已有处罚规定的，从其规定。</w:t>
      </w:r>
    </w:p>
    <w:p w14:paraId="544AA7B8">
      <w:pPr>
        <w:ind w:left="0" w:leftChars="0" w:firstLine="640" w:firstLineChars="200"/>
        <w:rPr>
          <w:rFonts w:hint="eastAsia" w:ascii="宋体" w:hAnsi="宋体" w:eastAsia="宋体" w:cs="宋体"/>
          <w:sz w:val="32"/>
          <w:szCs w:val="32"/>
        </w:rPr>
      </w:pPr>
    </w:p>
    <w:p w14:paraId="4E7C684F">
      <w:pPr>
        <w:numPr>
          <w:ilvl w:val="0"/>
          <w:numId w:val="1"/>
        </w:numPr>
        <w:ind w:left="0" w:leftChars="0" w:firstLine="640" w:firstLineChars="200"/>
        <w:jc w:val="center"/>
        <w:rPr>
          <w:rFonts w:hint="eastAsia" w:ascii="黑体" w:hAnsi="黑体" w:eastAsia="黑体" w:cs="黑体"/>
          <w:sz w:val="32"/>
          <w:szCs w:val="32"/>
        </w:rPr>
      </w:pPr>
      <w:r>
        <w:rPr>
          <w:rFonts w:hint="eastAsia" w:ascii="黑体" w:hAnsi="黑体" w:eastAsia="黑体" w:cs="黑体"/>
          <w:sz w:val="32"/>
          <w:szCs w:val="32"/>
        </w:rPr>
        <w:t>附　则</w:t>
      </w:r>
    </w:p>
    <w:p w14:paraId="17353513">
      <w:pPr>
        <w:numPr>
          <w:numId w:val="0"/>
        </w:numPr>
        <w:ind w:leftChars="200"/>
        <w:rPr>
          <w:rFonts w:hint="eastAsia" w:ascii="宋体" w:hAnsi="宋体" w:eastAsia="宋体" w:cs="宋体"/>
          <w:sz w:val="32"/>
          <w:szCs w:val="32"/>
        </w:rPr>
      </w:pPr>
    </w:p>
    <w:p w14:paraId="1D5402C0">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第三十八条</w:t>
      </w:r>
      <w:r>
        <w:rPr>
          <w:rFonts w:hint="eastAsia" w:ascii="宋体" w:hAnsi="宋体" w:eastAsia="宋体" w:cs="宋体"/>
          <w:sz w:val="32"/>
          <w:szCs w:val="32"/>
        </w:rPr>
        <w:t>　城市建成区以外的城镇停车设施的管理参照本规定执行。</w:t>
      </w:r>
    </w:p>
    <w:p w14:paraId="2D19065A">
      <w:pPr>
        <w:ind w:left="0" w:leftChars="0" w:firstLine="640" w:firstLineChars="200"/>
        <w:rPr>
          <w:rFonts w:hint="eastAsia" w:ascii="宋体" w:hAnsi="宋体" w:eastAsia="宋体" w:cs="宋体"/>
          <w:sz w:val="32"/>
          <w:szCs w:val="32"/>
        </w:rPr>
      </w:pPr>
      <w:r>
        <w:rPr>
          <w:rFonts w:hint="eastAsia" w:ascii="黑体" w:hAnsi="黑体" w:eastAsia="黑体" w:cs="黑体"/>
          <w:sz w:val="32"/>
          <w:szCs w:val="32"/>
        </w:rPr>
        <w:t>第三十九条</w:t>
      </w:r>
      <w:r>
        <w:rPr>
          <w:rFonts w:hint="eastAsia" w:ascii="宋体" w:hAnsi="宋体" w:eastAsia="宋体" w:cs="宋体"/>
          <w:sz w:val="32"/>
          <w:szCs w:val="32"/>
        </w:rPr>
        <w:t>　本规定自2026年4月1日起施行。</w:t>
      </w:r>
    </w:p>
    <w:sectPr>
      <w:headerReference r:id="rId3" w:type="default"/>
      <w:footerReference r:id="rId4"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439DDB-F51A-4AFD-8D0E-918BE85CCF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746852D-2042-4DA4-9146-2E5C9BCB073B}"/>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87A42">
    <w:pPr>
      <w:pStyle w:val="3"/>
      <w:rPr>
        <w:rFonts w:hint="eastAsia"/>
        <w:sz w:val="32"/>
        <w:szCs w:val="32"/>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65455" cy="34988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65455" cy="349885"/>
                      </a:xfrm>
                      <a:prstGeom prst="rect">
                        <a:avLst/>
                      </a:prstGeom>
                      <a:noFill/>
                      <a:ln>
                        <a:noFill/>
                      </a:ln>
                    </wps:spPr>
                    <wps:txbx>
                      <w:txbxContent>
                        <w:p w14:paraId="6D7181F5">
                          <w:pPr>
                            <w:pStyle w:val="3"/>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0pt;height:27.55pt;width:36.65pt;mso-position-horizontal:outside;mso-position-horizontal-relative:margin;z-index:251659264;mso-width-relative:page;mso-height-relative:page;" filled="f" stroked="f" coordsize="21600,21600" o:gfxdata="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nbdQTUAAAAAwEAAA8AAAAAAAAAAQAg&#10;AAAAIgAAAGRycy9kb3ducmV2LnhtbFBLAQIUABQAAAAIAIdO4kC8e9KT2QEAAKQDAAAOAAAAAAAA&#10;AAEAIAAAACMBAABkcnMvZTJvRG9jLnhtbFBLBQYAAAAABgAGAFkBAABuBQAAAAA=&#10;">
              <v:fill on="f" focussize="0,0"/>
              <v:stroke on="f"/>
              <v:imagedata o:title=""/>
              <o:lock v:ext="edit" aspectratio="f"/>
              <v:textbox inset="0mm,0mm,0mm,0mm">
                <w:txbxContent>
                  <w:p w14:paraId="6D7181F5">
                    <w:pPr>
                      <w:pStyle w:val="3"/>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lang w:val="en-US" w:eastAsia="zh-CN"/>
      </w:rPr>
      <w:tab/>
    </w:r>
  </w:p>
  <w:p w14:paraId="72A0F98F">
    <w:pPr>
      <w:pStyle w:val="3"/>
      <w:rPr>
        <w:rFonts w:hint="eastAsia"/>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117475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1007745" y="9413875"/>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1.5pt;margin-top:9.25pt;height:0.15pt;width:442.25pt;z-index:251660288;mso-width-relative:page;mso-height-relative:page;" filled="f" stroked="t" coordsize="21600,21600" o:gfxdata="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Y&#10;sXW70gAAAAcBAAAPAAAAAAAAAAEAIAAAACIAAABkcnMvZG93bnJldi54bWxQSwECFAAUAAAACACH&#10;TuJAV3lTNfEBAAC4AwAADgAAAAAAAAABACAAAAAhAQAAZHJzL2Uyb0RvYy54bWxQSwUGAAAAAAYA&#10;BgBZAQAAhAUAAAAA&#10;">
              <v:fill on="f" focussize="0,0"/>
              <v:stroke weight="1.75pt" color="#005192" joinstyle="round"/>
              <v:imagedata o:title=""/>
              <o:lock v:ext="edit" aspectratio="f"/>
            </v:line>
          </w:pict>
        </mc:Fallback>
      </mc:AlternateContent>
    </w:r>
    <w:r>
      <w:rPr>
        <w:rFonts w:hint="eastAsia"/>
        <w:lang w:val="en-US" w:eastAsia="zh-CN"/>
      </w:rPr>
      <w:tab/>
    </w:r>
  </w:p>
  <w:p w14:paraId="181BF58A">
    <w:pPr>
      <w:pStyle w:val="3"/>
      <w:rPr>
        <w:rFonts w:hint="eastAsia"/>
        <w:lang w:val="en-US" w:eastAsia="zh-CN"/>
      </w:rPr>
    </w:pPr>
  </w:p>
  <w:p w14:paraId="58F338FE">
    <w:pPr>
      <w:pStyle w:val="3"/>
      <w:wordWrap w:val="0"/>
      <w:jc w:val="right"/>
      <w:rPr>
        <w:rFonts w:hint="default"/>
        <w:sz w:val="28"/>
        <w:szCs w:val="28"/>
        <w:lang w:val="en-US"/>
      </w:rPr>
    </w:pPr>
    <w:r>
      <w:rPr>
        <w:rFonts w:hint="eastAsia" w:ascii="宋体" w:hAnsi="宋体" w:cs="宋体"/>
        <w:b/>
        <w:bCs/>
        <w:color w:val="005192"/>
        <w:sz w:val="28"/>
        <w:szCs w:val="28"/>
        <w:lang w:val="en-US" w:eastAsia="zh-CN"/>
      </w:rPr>
      <w:t>大同市人民政府</w:t>
    </w:r>
    <w:r>
      <w:rPr>
        <w:rFonts w:hint="eastAsia" w:ascii="宋体" w:hAnsi="宋体" w:eastAsia="宋体" w:cs="宋体"/>
        <w:b/>
        <w:bCs/>
        <w:color w:val="005192"/>
        <w:sz w:val="28"/>
        <w:szCs w:val="28"/>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C412E">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p w14:paraId="62DAAF6A">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cs="宋体"/>
        <w:b/>
        <w:bCs/>
        <w:color w:val="005192"/>
        <w:sz w:val="32"/>
        <w:szCs w:val="32"/>
        <w:lang w:val="en-US" w:eastAsia="zh-CN"/>
      </w:rPr>
      <w:t>大同市人民政府</w:t>
    </w:r>
    <w:r>
      <w:rPr>
        <w:rFonts w:hint="eastAsia" w:ascii="宋体" w:hAnsi="宋体" w:eastAsia="宋体" w:cs="宋体"/>
        <w:b/>
        <w:bCs/>
        <w:color w:val="005192"/>
        <w:sz w:val="32"/>
        <w:szCs w:val="32"/>
        <w:lang w:val="en-US" w:eastAsia="zh-CN"/>
      </w:rPr>
      <w:t>规章</w:t>
    </w:r>
  </w:p>
  <w:p w14:paraId="635C9662">
    <w:pPr>
      <w:pStyle w:val="4"/>
      <w:keepNext w:val="0"/>
      <w:keepLines w:val="0"/>
      <w:pageBreakBefore w:val="0"/>
      <w:widowControl w:val="0"/>
      <w:kinsoku/>
      <w:wordWrap/>
      <w:overflowPunct/>
      <w:topLinePunct w:val="0"/>
      <w:autoSpaceDE/>
      <w:autoSpaceDN/>
      <w:bidi w:val="0"/>
      <w:adjustRightInd/>
      <w:snapToGrid w:val="0"/>
      <w:textAlignment w:val="center"/>
      <w:rPr>
        <w:rFonts w:hint="eastAsia"/>
        <w:lang w:val="en-US" w:eastAsia="zh-CN"/>
      </w:rPr>
    </w:pPr>
    <w:r>
      <w:rPr>
        <w:rFonts w:hint="eastAsia" w:ascii="宋体" w:hAnsi="宋体" w:eastAsia="宋体" w:cs="宋体"/>
        <w:b/>
        <w:bCs/>
        <w:color w:val="005192"/>
        <w:sz w:val="32"/>
      </w:rPr>
      <mc:AlternateContent>
        <mc:Choice Requires="wps">
          <w:drawing>
            <wp:anchor distT="0" distB="0" distL="114300" distR="114300" simplePos="0" relativeHeight="251661312" behindDoc="0" locked="0" layoutInCell="1" allowOverlap="1">
              <wp:simplePos x="0" y="0"/>
              <wp:positionH relativeFrom="column">
                <wp:posOffset>-22860</wp:posOffset>
              </wp:positionH>
              <wp:positionV relativeFrom="paragraph">
                <wp:posOffset>112395</wp:posOffset>
              </wp:positionV>
              <wp:extent cx="5620385" cy="0"/>
              <wp:effectExtent l="0" t="10795" r="18415" b="17780"/>
              <wp:wrapNone/>
              <wp:docPr id="3" name="直接连接符 3"/>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pt;margin-top:8.85pt;height:0pt;width:442.55pt;z-index:251661312;mso-width-relative:page;mso-height-relative:page;" filled="f" stroked="t" coordsize="21600,21600" o:gfxdata="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hDolzTAAAACAEA&#10;AA8AAAAAAAAAAQAgAAAAIgAAAGRycy9kb3ducmV2LnhtbFBLAQIUABQAAAAIAIdO4kAy4RJ15gEA&#10;AKYDAAAOAAAAAAAAAAEAIAAAACIBAABkcnMvZTJvRG9jLnhtbFBLBQYAAAAABgAGAFkBAAB6BQAA&#10;AAA=&#10;">
              <v:fill on="f" focussize="0,0"/>
              <v:stroke weight="1.75pt" color="#005192 [3204]"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0AE3B"/>
    <w:multiLevelType w:val="singleLevel"/>
    <w:tmpl w:val="0280AE3B"/>
    <w:lvl w:ilvl="0" w:tentative="0">
      <w:start w:val="6"/>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EFD0F4"/>
    <w:rsid w:val="00513497"/>
    <w:rsid w:val="01B81B1F"/>
    <w:rsid w:val="06E035B6"/>
    <w:rsid w:val="07F672AE"/>
    <w:rsid w:val="0A0465D5"/>
    <w:rsid w:val="0B57642E"/>
    <w:rsid w:val="0C205657"/>
    <w:rsid w:val="0C2410E0"/>
    <w:rsid w:val="0FFF5B13"/>
    <w:rsid w:val="136C4E31"/>
    <w:rsid w:val="14E629C1"/>
    <w:rsid w:val="19F83D95"/>
    <w:rsid w:val="1D1F3F99"/>
    <w:rsid w:val="1DCB0869"/>
    <w:rsid w:val="20B515F3"/>
    <w:rsid w:val="2127683B"/>
    <w:rsid w:val="21F01545"/>
    <w:rsid w:val="29E6527A"/>
    <w:rsid w:val="2DF674F5"/>
    <w:rsid w:val="301C445C"/>
    <w:rsid w:val="31293F09"/>
    <w:rsid w:val="326822C2"/>
    <w:rsid w:val="33274478"/>
    <w:rsid w:val="34577EBB"/>
    <w:rsid w:val="41831BC8"/>
    <w:rsid w:val="42D30464"/>
    <w:rsid w:val="456B28EB"/>
    <w:rsid w:val="462347ED"/>
    <w:rsid w:val="47DD71EB"/>
    <w:rsid w:val="4BA0310B"/>
    <w:rsid w:val="4C0C2208"/>
    <w:rsid w:val="4C2F09D5"/>
    <w:rsid w:val="4C704308"/>
    <w:rsid w:val="52591377"/>
    <w:rsid w:val="52BF509F"/>
    <w:rsid w:val="552D4229"/>
    <w:rsid w:val="571D7FF8"/>
    <w:rsid w:val="580E15DF"/>
    <w:rsid w:val="581F7434"/>
    <w:rsid w:val="58871B30"/>
    <w:rsid w:val="5B9836D5"/>
    <w:rsid w:val="61077514"/>
    <w:rsid w:val="62B47227"/>
    <w:rsid w:val="653603C7"/>
    <w:rsid w:val="6A105073"/>
    <w:rsid w:val="6F2D493A"/>
    <w:rsid w:val="6F7E7426"/>
    <w:rsid w:val="75947170"/>
    <w:rsid w:val="79D067B6"/>
    <w:rsid w:val="7BF30969"/>
    <w:rsid w:val="7C86358B"/>
    <w:rsid w:val="7D2E03D4"/>
    <w:rsid w:val="7FC27F23"/>
    <w:rsid w:val="BFEFD0F4"/>
    <w:rsid w:val="F7EA7B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4927</Words>
  <Characters>4951</Characters>
  <Lines>0</Lines>
  <Paragraphs>0</Paragraphs>
  <TotalTime>25</TotalTime>
  <ScaleCrop>false</ScaleCrop>
  <LinksUpToDate>false</LinksUpToDate>
  <CharactersWithSpaces>4990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2021-11-03T09:35:00Z</dcterms:created>
  <dc:creator>dt</dc:creator>
  <cp:lastModifiedBy>穆晓慧</cp:lastModifiedBy>
  <dcterms:modified xsi:type="dcterms:W3CDTF">2026-03-03T02:00:25Z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15E10E927A93414095D90A71E84F3B31_13</vt:lpwstr>
  </property>
  <property fmtid="{D5CDD505-2E9C-101B-9397-08002B2CF9AE}" pid="4" name="KSOTemplateDocerSaveRecord">
    <vt:lpwstr>eyJoZGlkIjoiODRiYjRlMWNlZjNlODliMWQ5NTI0ZjQwZTRhZWM5ZDgiLCJ1c2VySWQiOiI3MzgzMTE2NDYifQ==</vt:lpwstr>
  </property>
</Properties>
</file>