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right="0"/>
        <w:jc w:val="left"/>
        <w:rPr>
          <w:rStyle w:val="6"/>
          <w:rFonts w:hint="default"/>
          <w:color w:val="333333"/>
          <w:sz w:val="28"/>
          <w:szCs w:val="28"/>
          <w:shd w:val="clear" w:color="auto" w:fill="FFFFFF"/>
          <w:lang w:val="en-US" w:eastAsia="zh-CN"/>
        </w:rPr>
      </w:pPr>
      <w:r>
        <w:rPr>
          <w:rStyle w:val="6"/>
          <w:rFonts w:hint="eastAsia"/>
          <w:color w:val="333333"/>
          <w:sz w:val="28"/>
          <w:szCs w:val="28"/>
          <w:shd w:val="clear" w:color="auto" w:fill="FFFFFF"/>
          <w:lang w:val="en-US" w:eastAsia="zh-CN"/>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rPr>
          <w:rStyle w:val="6"/>
          <w:rFonts w:hint="eastAsia" w:eastAsia="宋体"/>
          <w:color w:val="333333"/>
          <w:sz w:val="36"/>
          <w:szCs w:val="36"/>
          <w:shd w:val="clear" w:color="auto" w:fill="FFFFFF"/>
          <w:lang w:eastAsia="zh-CN"/>
        </w:rPr>
      </w:pPr>
      <w:r>
        <w:rPr>
          <w:rStyle w:val="6"/>
          <w:rFonts w:hint="eastAsia"/>
          <w:color w:val="333333"/>
          <w:sz w:val="36"/>
          <w:szCs w:val="36"/>
          <w:shd w:val="clear" w:color="auto" w:fill="FFFFFF"/>
          <w:lang w:val="en-US" w:eastAsia="zh-CN"/>
        </w:rPr>
        <w:t xml:space="preserve">          部分</w:t>
      </w:r>
      <w:r>
        <w:rPr>
          <w:rStyle w:val="6"/>
          <w:rFonts w:hint="eastAsia"/>
          <w:color w:val="333333"/>
          <w:sz w:val="36"/>
          <w:szCs w:val="36"/>
          <w:shd w:val="clear" w:color="auto" w:fill="FFFFFF"/>
          <w:lang w:eastAsia="zh-CN"/>
        </w:rPr>
        <w:t>不合格检验项目小知识</w:t>
      </w:r>
    </w:p>
    <w:p>
      <w:pPr>
        <w:pStyle w:val="7"/>
        <w:spacing w:line="360" w:lineRule="auto"/>
        <w:ind w:firstLine="480"/>
        <w:rPr>
          <w:rFonts w:hint="eastAsia" w:ascii="仿宋_GB2312" w:hAnsi="仿宋_GB2312" w:eastAsia="仿宋_GB2312" w:cs="仿宋_GB2312"/>
          <w:b w:val="0"/>
          <w:bCs w:val="0"/>
          <w:color w:val="333333"/>
          <w:kern w:val="0"/>
          <w:sz w:val="32"/>
          <w:szCs w:val="32"/>
          <w:shd w:val="clear" w:color="auto" w:fill="FFFFFF"/>
          <w:lang w:val="en-US" w:eastAsia="zh-CN" w:bidi="ar"/>
        </w:rPr>
      </w:pPr>
      <w:r>
        <w:rPr>
          <w:rStyle w:val="6"/>
          <w:rFonts w:hint="eastAsia"/>
          <w:color w:val="333333"/>
          <w:sz w:val="30"/>
          <w:szCs w:val="30"/>
          <w:shd w:val="clear" w:color="auto" w:fill="FFFFFF"/>
          <w:lang w:val="en-US" w:eastAsia="zh-CN"/>
        </w:rPr>
        <w:t xml:space="preserve"> </w:t>
      </w:r>
      <w:r>
        <w:rPr>
          <w:rStyle w:val="6"/>
          <w:rFonts w:hint="eastAsia" w:ascii="仿宋_GB2312" w:hAnsi="仿宋_GB2312" w:eastAsia="仿宋_GB2312" w:cs="仿宋_GB2312"/>
          <w:color w:val="333333"/>
          <w:sz w:val="30"/>
          <w:szCs w:val="30"/>
          <w:shd w:val="clear" w:color="auto" w:fill="FFFFFF"/>
          <w:lang w:val="en-US" w:eastAsia="zh-CN"/>
        </w:rPr>
        <w:t xml:space="preserve">    </w:t>
      </w:r>
      <w:r>
        <w:rPr>
          <w:rStyle w:val="6"/>
          <w:rFonts w:hint="eastAsia" w:ascii="仿宋_GB2312" w:hAnsi="仿宋_GB2312" w:eastAsia="仿宋_GB2312" w:cs="仿宋_GB2312"/>
          <w:b/>
          <w:bCs w:val="0"/>
          <w:color w:val="333333"/>
          <w:sz w:val="30"/>
          <w:szCs w:val="30"/>
          <w:shd w:val="clear" w:color="auto" w:fill="FFFFFF"/>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b/>
          <w:bCs/>
          <w:color w:val="333333"/>
          <w:kern w:val="0"/>
          <w:sz w:val="32"/>
          <w:szCs w:val="32"/>
          <w:shd w:val="clear" w:color="auto" w:fill="FFFFFF"/>
          <w:lang w:val="en-US" w:eastAsia="zh-CN" w:bidi="ar"/>
        </w:rPr>
      </w:pPr>
      <w:r>
        <w:rPr>
          <w:rFonts w:hint="default" w:ascii="仿宋_GB2312" w:hAnsi="仿宋_GB2312" w:eastAsia="仿宋_GB2312" w:cs="仿宋_GB2312"/>
          <w:b/>
          <w:bCs/>
          <w:color w:val="333333"/>
          <w:kern w:val="0"/>
          <w:sz w:val="32"/>
          <w:szCs w:val="32"/>
          <w:shd w:val="clear" w:color="auto" w:fill="FFFFFF"/>
          <w:lang w:val="en-US" w:eastAsia="zh-CN" w:bidi="ar"/>
        </w:rPr>
        <w:t>一</w:t>
      </w:r>
      <w:r>
        <w:rPr>
          <w:rFonts w:hint="eastAsia" w:ascii="仿宋_GB2312" w:hAnsi="仿宋_GB2312" w:eastAsia="仿宋_GB2312" w:cs="仿宋_GB2312"/>
          <w:b/>
          <w:bCs/>
          <w:color w:val="333333"/>
          <w:kern w:val="0"/>
          <w:sz w:val="32"/>
          <w:szCs w:val="32"/>
          <w:shd w:val="clear" w:color="auto" w:fill="FFFFFF"/>
          <w:lang w:val="en-US" w:eastAsia="zh-CN" w:bidi="ar"/>
        </w:rPr>
        <w:t>、</w:t>
      </w:r>
      <w:r>
        <w:rPr>
          <w:rFonts w:hint="default" w:ascii="仿宋_GB2312" w:hAnsi="仿宋_GB2312" w:eastAsia="仿宋_GB2312" w:cs="仿宋_GB2312"/>
          <w:b/>
          <w:bCs/>
          <w:color w:val="333333"/>
          <w:kern w:val="0"/>
          <w:sz w:val="32"/>
          <w:szCs w:val="32"/>
          <w:shd w:val="clear" w:color="auto" w:fill="FFFFFF"/>
          <w:lang w:val="en-US" w:eastAsia="zh-CN" w:bidi="ar"/>
        </w:rPr>
        <w:t>铝的残留量(干样品，以Al计)</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val="0"/>
          <w:bCs w:val="0"/>
          <w:color w:val="333333"/>
          <w:kern w:val="0"/>
          <w:sz w:val="32"/>
          <w:szCs w:val="32"/>
          <w:shd w:val="clear" w:color="auto" w:fill="FFFFFF"/>
          <w:lang w:val="en-US" w:eastAsia="zh-CN" w:bidi="ar"/>
        </w:rPr>
        <w:t>硫酸铝钾（又名钾明矾）或者硫酸铝铵（又名铵明矾）常见于复合膨松剂，能使面胚起发，形成致密多孔组织，使产品膨松、柔软或酥脆，同时控制反应速度，充分提高膨松剂的效能。但现代研究却发现明矾对人们健康存在危害，主要体现在金属元素铝在人体内的慢性积累。铝被人体吸收后很难排除体外，会慢慢蓄积，铝的大量蓄积，会损害大脑及神经细胞，可能导致脑萎缩、痴呆等症状。</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val="0"/>
          <w:bCs w:val="0"/>
          <w:color w:val="333333"/>
          <w:kern w:val="0"/>
          <w:sz w:val="32"/>
          <w:szCs w:val="32"/>
          <w:shd w:val="clear" w:color="auto" w:fill="FFFFFF"/>
          <w:lang w:val="en-US" w:eastAsia="zh-CN" w:bidi="ar"/>
        </w:rPr>
        <w:t>在油炸面制品中检测出铝的残留量(干样品，以Al计)超标的原因可能为：</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val="0"/>
          <w:bCs w:val="0"/>
          <w:color w:val="333333"/>
          <w:kern w:val="0"/>
          <w:sz w:val="32"/>
          <w:szCs w:val="32"/>
          <w:shd w:val="clear" w:color="auto" w:fill="FFFFFF"/>
          <w:lang w:val="en-US" w:eastAsia="zh-CN" w:bidi="ar"/>
        </w:rPr>
        <w:t>（1）商家为了使食品更松软可口，加入了含有明矾的膨松剂；</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val="0"/>
          <w:bCs w:val="0"/>
          <w:color w:val="333333"/>
          <w:kern w:val="0"/>
          <w:sz w:val="32"/>
          <w:szCs w:val="32"/>
          <w:shd w:val="clear" w:color="auto" w:fill="FFFFFF"/>
          <w:lang w:val="en-US" w:eastAsia="zh-CN" w:bidi="ar"/>
        </w:rPr>
        <w:t>（2）商家把糕点类别可使用添加剂误用在油炸面制品中，导致超范围使用添加剂的不合格产生。</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eastAsia" w:ascii="仿宋_GB2312" w:hAnsi="仿宋_GB2312" w:eastAsia="仿宋_GB2312" w:cs="仿宋_GB2312"/>
          <w:b w:val="0"/>
          <w:bCs w:val="0"/>
          <w:color w:val="333333"/>
          <w:kern w:val="0"/>
          <w:sz w:val="32"/>
          <w:szCs w:val="32"/>
          <w:shd w:val="clear" w:color="auto" w:fill="FFFFFF"/>
          <w:lang w:val="en-US" w:eastAsia="zh-CN" w:bidi="ar"/>
        </w:rPr>
        <w:t>粉丝粉条</w:t>
      </w:r>
      <w:r>
        <w:rPr>
          <w:rFonts w:hint="default" w:ascii="仿宋_GB2312" w:hAnsi="仿宋_GB2312" w:eastAsia="仿宋_GB2312" w:cs="仿宋_GB2312"/>
          <w:b w:val="0"/>
          <w:bCs w:val="0"/>
          <w:color w:val="333333"/>
          <w:kern w:val="0"/>
          <w:sz w:val="32"/>
          <w:szCs w:val="32"/>
          <w:shd w:val="clear" w:color="auto" w:fill="FFFFFF"/>
          <w:lang w:val="en-US" w:eastAsia="zh-CN" w:bidi="ar"/>
        </w:rPr>
        <w:t>中检测出铝的残留量(干样品，以Al计)超标的原因可能为：</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val="0"/>
          <w:bCs w:val="0"/>
          <w:color w:val="333333"/>
          <w:kern w:val="0"/>
          <w:sz w:val="32"/>
          <w:szCs w:val="32"/>
          <w:shd w:val="clear" w:color="auto" w:fill="FFFFFF"/>
          <w:lang w:val="en-US" w:eastAsia="zh-CN" w:bidi="ar"/>
        </w:rPr>
        <w:t>粉丝粉条（干样品）中铝残留量超标的原因可能是，个别企业为改善产品口感，在生产加工过程中超限量、超范围使用含铝添加剂，或者其使用的复配添加剂中铝含量过高。长期摄入铝残留超标的食品，可能影响人体对铁、钙等营养元素的吸收，从而导致骨质疏松、贫血等，甚至影响神经细胞的发育。</w:t>
      </w:r>
    </w:p>
    <w:p>
      <w:pPr>
        <w:pStyle w:val="2"/>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bCs/>
          <w:color w:val="333333"/>
          <w:kern w:val="0"/>
          <w:sz w:val="32"/>
          <w:szCs w:val="32"/>
          <w:shd w:val="clear" w:color="auto" w:fill="FFFFFF"/>
          <w:lang w:val="en-US" w:eastAsia="zh-CN" w:bidi="ar"/>
        </w:rPr>
        <w:t>二</w:t>
      </w:r>
      <w:r>
        <w:rPr>
          <w:rFonts w:hint="eastAsia" w:ascii="仿宋_GB2312" w:hAnsi="仿宋_GB2312" w:eastAsia="仿宋_GB2312" w:cs="仿宋_GB2312"/>
          <w:b/>
          <w:bCs/>
          <w:color w:val="333333"/>
          <w:kern w:val="0"/>
          <w:sz w:val="32"/>
          <w:szCs w:val="32"/>
          <w:shd w:val="clear" w:color="auto" w:fill="FFFFFF"/>
          <w:lang w:val="en-US" w:eastAsia="zh-CN" w:bidi="ar"/>
        </w:rPr>
        <w:t>、</w:t>
      </w:r>
      <w:r>
        <w:rPr>
          <w:rFonts w:hint="default" w:ascii="仿宋_GB2312" w:hAnsi="仿宋_GB2312" w:eastAsia="仿宋_GB2312" w:cs="仿宋_GB2312"/>
          <w:b/>
          <w:bCs/>
          <w:color w:val="333333"/>
          <w:kern w:val="0"/>
          <w:sz w:val="32"/>
          <w:szCs w:val="32"/>
          <w:shd w:val="clear" w:color="auto" w:fill="FFFFFF"/>
          <w:lang w:val="en-US" w:eastAsia="zh-CN" w:bidi="ar"/>
        </w:rPr>
        <w:t>噻虫胺</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val="0"/>
          <w:bCs w:val="0"/>
          <w:color w:val="333333"/>
          <w:kern w:val="0"/>
          <w:sz w:val="32"/>
          <w:szCs w:val="32"/>
          <w:shd w:val="clear" w:color="auto" w:fill="FFFFFF"/>
          <w:lang w:val="en-US" w:eastAsia="zh-CN" w:bidi="ar"/>
        </w:rPr>
        <w:t>噻虫胺是新烟碱类中的一种杀虫剂，具有触杀、胃毒和内吸活性。主要用于水稻、蔬菜、果树及其他作物上防治蚜虫、叶蝉、蓟马、飞虱等半翅目、鞘翅目、双翅目和某些鳞翅目类害虫的杀虫剂。超标原因可能是在种植过程中为快速控制虫害加大用药量，或未遵守采摘间隔期规定，致使上市销售时产品中的药物残留量未降解至标准限量以下。</w:t>
      </w:r>
    </w:p>
    <w:p>
      <w:pPr>
        <w:pStyle w:val="2"/>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b/>
          <w:bCs/>
          <w:color w:val="333333"/>
          <w:kern w:val="0"/>
          <w:sz w:val="32"/>
          <w:szCs w:val="32"/>
          <w:shd w:val="clear" w:color="auto" w:fill="FFFFFF"/>
          <w:lang w:val="en-US" w:eastAsia="zh-CN" w:bidi="ar"/>
        </w:rPr>
      </w:pPr>
      <w:r>
        <w:rPr>
          <w:rFonts w:hint="default" w:ascii="仿宋_GB2312" w:hAnsi="仿宋_GB2312" w:eastAsia="仿宋_GB2312" w:cs="仿宋_GB2312"/>
          <w:b/>
          <w:bCs/>
          <w:color w:val="333333"/>
          <w:kern w:val="0"/>
          <w:sz w:val="32"/>
          <w:szCs w:val="32"/>
          <w:shd w:val="clear" w:color="auto" w:fill="FFFFFF"/>
          <w:lang w:val="en-US" w:eastAsia="zh-CN" w:bidi="ar"/>
        </w:rPr>
        <w:t>三</w:t>
      </w:r>
      <w:r>
        <w:rPr>
          <w:rFonts w:hint="eastAsia" w:ascii="仿宋_GB2312" w:hAnsi="仿宋_GB2312" w:eastAsia="仿宋_GB2312" w:cs="仿宋_GB2312"/>
          <w:b/>
          <w:bCs/>
          <w:color w:val="333333"/>
          <w:kern w:val="0"/>
          <w:sz w:val="32"/>
          <w:szCs w:val="32"/>
          <w:shd w:val="clear" w:color="auto" w:fill="FFFFFF"/>
          <w:lang w:val="en-US" w:eastAsia="zh-CN" w:bidi="ar"/>
        </w:rPr>
        <w:t>、</w:t>
      </w:r>
      <w:r>
        <w:rPr>
          <w:rFonts w:hint="default" w:ascii="仿宋_GB2312" w:hAnsi="仿宋_GB2312" w:eastAsia="仿宋_GB2312" w:cs="仿宋_GB2312"/>
          <w:b/>
          <w:bCs/>
          <w:color w:val="333333"/>
          <w:kern w:val="0"/>
          <w:sz w:val="32"/>
          <w:szCs w:val="32"/>
          <w:shd w:val="clear" w:color="auto" w:fill="FFFFFF"/>
          <w:lang w:val="en-US" w:eastAsia="zh-CN" w:bidi="ar"/>
        </w:rPr>
        <w:t>腈苯唑</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val="0"/>
          <w:bCs w:val="0"/>
          <w:color w:val="333333"/>
          <w:kern w:val="0"/>
          <w:sz w:val="32"/>
          <w:szCs w:val="32"/>
          <w:shd w:val="clear" w:color="auto" w:fill="FFFFFF"/>
          <w:lang w:val="en-US" w:eastAsia="zh-CN" w:bidi="ar"/>
        </w:rPr>
        <w:t>腈苯唑是一种三唑类内吸杀菌剂，可用于防治香蕉叶斑病、桃树褐腐病、水稻稻曲病等。香蕉中腈苯唑超标的原因，可能是在种植过程中为快速控制虫害加大用药量或未遵守采摘间隔期规定，致使上市销售时产品中的药物残留量未降解至标准限量以下。</w:t>
      </w:r>
    </w:p>
    <w:p>
      <w:pPr>
        <w:pStyle w:val="2"/>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b/>
          <w:bCs/>
          <w:color w:val="333333"/>
          <w:kern w:val="0"/>
          <w:sz w:val="32"/>
          <w:szCs w:val="32"/>
          <w:shd w:val="clear" w:color="auto" w:fill="FFFFFF"/>
          <w:lang w:val="en-US" w:eastAsia="zh-CN" w:bidi="ar"/>
        </w:rPr>
      </w:pPr>
      <w:r>
        <w:rPr>
          <w:rFonts w:hint="default" w:ascii="仿宋_GB2312" w:hAnsi="仿宋_GB2312" w:eastAsia="仿宋_GB2312" w:cs="仿宋_GB2312"/>
          <w:b/>
          <w:bCs/>
          <w:color w:val="333333"/>
          <w:kern w:val="0"/>
          <w:sz w:val="32"/>
          <w:szCs w:val="32"/>
          <w:shd w:val="clear" w:color="auto" w:fill="FFFFFF"/>
          <w:lang w:val="en-US" w:eastAsia="zh-CN" w:bidi="ar"/>
        </w:rPr>
        <w:t>四</w:t>
      </w:r>
      <w:r>
        <w:rPr>
          <w:rFonts w:hint="eastAsia" w:ascii="仿宋_GB2312" w:hAnsi="仿宋_GB2312" w:eastAsia="仿宋_GB2312" w:cs="仿宋_GB2312"/>
          <w:b/>
          <w:bCs/>
          <w:color w:val="333333"/>
          <w:kern w:val="0"/>
          <w:sz w:val="32"/>
          <w:szCs w:val="32"/>
          <w:shd w:val="clear" w:color="auto" w:fill="FFFFFF"/>
          <w:lang w:val="en-US" w:eastAsia="zh-CN" w:bidi="ar"/>
        </w:rPr>
        <w:t>、</w:t>
      </w:r>
      <w:r>
        <w:rPr>
          <w:rFonts w:hint="default" w:ascii="仿宋_GB2312" w:hAnsi="仿宋_GB2312" w:eastAsia="仿宋_GB2312" w:cs="仿宋_GB2312"/>
          <w:b/>
          <w:bCs/>
          <w:color w:val="333333"/>
          <w:kern w:val="0"/>
          <w:sz w:val="32"/>
          <w:szCs w:val="32"/>
          <w:shd w:val="clear" w:color="auto" w:fill="FFFFFF"/>
          <w:lang w:val="en-US" w:eastAsia="zh-CN" w:bidi="ar"/>
        </w:rPr>
        <w:t>腐霉利</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val="0"/>
          <w:bCs w:val="0"/>
          <w:color w:val="333333"/>
          <w:kern w:val="0"/>
          <w:sz w:val="32"/>
          <w:szCs w:val="32"/>
          <w:shd w:val="clear" w:color="auto" w:fill="FFFFFF"/>
          <w:lang w:val="en-US" w:eastAsia="zh-CN" w:bidi="ar"/>
        </w:rPr>
        <w:t>腐霉利是一种广谱低毒内吸性杀菌剂，对低温高湿条件下发生的灰霉病、菌核病有显著效果。少量农药残留不会导致急性中毒，但长期食用农药残留超标的蔬菜可能对人体健康产生一定的不良影响。韭菜中腐霉利超标的原因包括：一是灰霉病在韭菜生产中发生极为普遍，且一旦发生极易导致严重产量损失，而腐霉利是防治灰霉病的有效药物，可能存在种植户在种植过程中使用腐霉利而导致韭菜中腐霉利超标现象；二是韭菜使用的腐霉利药物未过安全间隔期；三是菜农科学用药知识缺乏，农产品质量安全意识不强，随意加大用药剂量，增加用药次数导致。</w:t>
      </w:r>
    </w:p>
    <w:p>
      <w:pPr>
        <w:pStyle w:val="2"/>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b/>
          <w:bCs/>
          <w:color w:val="333333"/>
          <w:kern w:val="0"/>
          <w:sz w:val="32"/>
          <w:szCs w:val="32"/>
          <w:shd w:val="clear" w:color="auto" w:fill="FFFFFF"/>
          <w:lang w:val="en-US" w:eastAsia="zh-CN" w:bidi="ar"/>
        </w:rPr>
      </w:pPr>
      <w:r>
        <w:rPr>
          <w:rFonts w:hint="default" w:ascii="仿宋_GB2312" w:hAnsi="仿宋_GB2312" w:eastAsia="仿宋_GB2312" w:cs="仿宋_GB2312"/>
          <w:b/>
          <w:bCs/>
          <w:color w:val="333333"/>
          <w:kern w:val="0"/>
          <w:sz w:val="32"/>
          <w:szCs w:val="32"/>
          <w:shd w:val="clear" w:color="auto" w:fill="FFFFFF"/>
          <w:lang w:val="en-US" w:eastAsia="zh-CN" w:bidi="ar"/>
        </w:rPr>
        <w:t>五</w:t>
      </w:r>
      <w:r>
        <w:rPr>
          <w:rFonts w:hint="eastAsia" w:ascii="仿宋_GB2312" w:hAnsi="仿宋_GB2312" w:eastAsia="仿宋_GB2312" w:cs="仿宋_GB2312"/>
          <w:b/>
          <w:bCs/>
          <w:color w:val="333333"/>
          <w:kern w:val="0"/>
          <w:sz w:val="32"/>
          <w:szCs w:val="32"/>
          <w:shd w:val="clear" w:color="auto" w:fill="FFFFFF"/>
          <w:lang w:val="en-US" w:eastAsia="zh-CN" w:bidi="ar"/>
        </w:rPr>
        <w:t>、</w:t>
      </w:r>
      <w:r>
        <w:rPr>
          <w:rFonts w:hint="default" w:ascii="仿宋_GB2312" w:hAnsi="仿宋_GB2312" w:eastAsia="仿宋_GB2312" w:cs="仿宋_GB2312"/>
          <w:b/>
          <w:bCs/>
          <w:color w:val="333333"/>
          <w:kern w:val="0"/>
          <w:sz w:val="32"/>
          <w:szCs w:val="32"/>
          <w:shd w:val="clear" w:color="auto" w:fill="FFFFFF"/>
          <w:lang w:val="en-US" w:eastAsia="zh-CN" w:bidi="ar"/>
        </w:rPr>
        <w:t>联苯菊酯</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val="0"/>
          <w:bCs w:val="0"/>
          <w:color w:val="333333"/>
          <w:kern w:val="0"/>
          <w:sz w:val="32"/>
          <w:szCs w:val="32"/>
          <w:shd w:val="clear" w:color="auto" w:fill="FFFFFF"/>
          <w:lang w:val="en-US" w:eastAsia="zh-CN" w:bidi="ar"/>
        </w:rPr>
        <w:t>联苯菊酯又叫天王星是一种高效合成除虫菊酯杀虫、杀螨剂。具有触杀、胃毒作用，无内吸、熏蒸作用。防治对象各种鳞翅目幼虫、粉虱、蚜虫、植食性叶螨等。杀虫谱广，对螨也有较好防效。作用迅速。在土壤中不移动，对环境较为安全，残效期长。</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bCs/>
          <w:color w:val="333333"/>
          <w:kern w:val="0"/>
          <w:sz w:val="32"/>
          <w:szCs w:val="32"/>
          <w:shd w:val="clear" w:color="auto" w:fill="FFFFFF"/>
          <w:lang w:val="en-US" w:eastAsia="zh-CN" w:bidi="ar"/>
        </w:rPr>
        <w:t>六</w:t>
      </w:r>
      <w:r>
        <w:rPr>
          <w:rFonts w:hint="eastAsia" w:ascii="仿宋_GB2312" w:hAnsi="仿宋_GB2312" w:eastAsia="仿宋_GB2312" w:cs="仿宋_GB2312"/>
          <w:b/>
          <w:bCs/>
          <w:color w:val="333333"/>
          <w:kern w:val="0"/>
          <w:sz w:val="32"/>
          <w:szCs w:val="32"/>
          <w:shd w:val="clear" w:color="auto" w:fill="FFFFFF"/>
          <w:lang w:val="en-US" w:eastAsia="zh-CN" w:bidi="ar"/>
        </w:rPr>
        <w:t>、</w:t>
      </w:r>
      <w:r>
        <w:rPr>
          <w:rFonts w:hint="default" w:ascii="仿宋_GB2312" w:hAnsi="仿宋_GB2312" w:eastAsia="仿宋_GB2312" w:cs="仿宋_GB2312"/>
          <w:b/>
          <w:bCs/>
          <w:color w:val="333333"/>
          <w:kern w:val="0"/>
          <w:sz w:val="32"/>
          <w:szCs w:val="32"/>
          <w:shd w:val="clear" w:color="auto" w:fill="FFFFFF"/>
          <w:lang w:val="en-US" w:eastAsia="zh-CN" w:bidi="ar"/>
        </w:rPr>
        <w:t>吡虫啉</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val="0"/>
          <w:bCs w:val="0"/>
          <w:color w:val="333333"/>
          <w:kern w:val="0"/>
          <w:sz w:val="32"/>
          <w:szCs w:val="32"/>
          <w:shd w:val="clear" w:color="auto" w:fill="FFFFFF"/>
          <w:lang w:val="en-US" w:eastAsia="zh-CN" w:bidi="ar"/>
        </w:rPr>
        <w:t>吡虫啉是一种烟碱类内吸性杀虫剂，具有广谱、高效、低毒、低残留特性，主要用于防治刺吸式口器害虫，如蚜虫、飞虱、粉虱、叶蝉、蓟马；可用于茶树中防治茶小绿叶蝉。菜豆中检出吡虫啉超标，可能是在种植过程中为快速控制虫害加大用药量，或未遵守采摘间隔期规定，致使上市销售时产品中的药物残留量未降解至标准限量以下。</w:t>
      </w:r>
    </w:p>
    <w:p>
      <w:pPr>
        <w:pStyle w:val="2"/>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bCs/>
          <w:color w:val="333333"/>
          <w:kern w:val="0"/>
          <w:sz w:val="32"/>
          <w:szCs w:val="32"/>
          <w:shd w:val="clear" w:color="auto" w:fill="FFFFFF"/>
          <w:lang w:val="en-US" w:eastAsia="zh-CN" w:bidi="ar"/>
        </w:rPr>
        <w:t>七</w:t>
      </w:r>
      <w:r>
        <w:rPr>
          <w:rFonts w:hint="eastAsia" w:ascii="仿宋_GB2312" w:hAnsi="仿宋_GB2312" w:eastAsia="仿宋_GB2312" w:cs="仿宋_GB2312"/>
          <w:b/>
          <w:bCs/>
          <w:color w:val="333333"/>
          <w:kern w:val="0"/>
          <w:sz w:val="32"/>
          <w:szCs w:val="32"/>
          <w:shd w:val="clear" w:color="auto" w:fill="FFFFFF"/>
          <w:lang w:val="en-US" w:eastAsia="zh-CN" w:bidi="ar"/>
        </w:rPr>
        <w:t>、</w:t>
      </w:r>
      <w:r>
        <w:rPr>
          <w:rFonts w:hint="default" w:ascii="仿宋_GB2312" w:hAnsi="仿宋_GB2312" w:eastAsia="仿宋_GB2312" w:cs="仿宋_GB2312"/>
          <w:b/>
          <w:bCs/>
          <w:color w:val="333333"/>
          <w:kern w:val="0"/>
          <w:sz w:val="32"/>
          <w:szCs w:val="32"/>
          <w:shd w:val="clear" w:color="auto" w:fill="FFFFFF"/>
          <w:lang w:val="en-US" w:eastAsia="zh-CN" w:bidi="ar"/>
        </w:rPr>
        <w:t>噻虫嗪</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333333"/>
          <w:kern w:val="0"/>
          <w:sz w:val="32"/>
          <w:szCs w:val="32"/>
          <w:shd w:val="clear" w:color="auto" w:fill="FFFFFF"/>
          <w:lang w:val="en-US" w:eastAsia="zh-CN" w:bidi="ar"/>
        </w:rPr>
      </w:pPr>
      <w:r>
        <w:rPr>
          <w:rFonts w:hint="default" w:ascii="仿宋_GB2312" w:hAnsi="仿宋_GB2312" w:eastAsia="仿宋_GB2312" w:cs="仿宋_GB2312"/>
          <w:b w:val="0"/>
          <w:bCs w:val="0"/>
          <w:color w:val="333333"/>
          <w:kern w:val="0"/>
          <w:sz w:val="32"/>
          <w:szCs w:val="32"/>
          <w:shd w:val="clear" w:color="auto" w:fill="FFFFFF"/>
          <w:lang w:val="en-US" w:eastAsia="zh-CN" w:bidi="ar"/>
        </w:rPr>
        <w:t>噻虫嗪是一种全新结构的第二代烟碱类高效低毒杀虫剂，对害虫具有胃毒、触杀及内吸活性，用于叶面喷雾及土壤灌根处理；其施药后迅速被内吸，并传导到植株各部位，对刺吸式害虫如蚜虫、飞虱、叶蝉、粉虱等有良好的防效；对杀灭茶树小绿叶蝉有效，与联苯菊酯配合，对黑刺粉虱有效。生姜中噻虫嗪超标，原因可能是在种植过程中为快速控制虫害加大用药量，或未遵守采摘间隔期规定，致使上市销售时产品中的药物残留量未降解至标准限量以下。</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ZTU1MWU0ZmY3NjkxMDY4YWFmYTczYTkzYmE0ZTcifQ=="/>
  </w:docVars>
  <w:rsids>
    <w:rsidRoot w:val="00000000"/>
    <w:rsid w:val="30516523"/>
    <w:rsid w:val="481D0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ind w:left="100" w:leftChars="200" w:hanging="200" w:hangingChars="2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1471</Words>
  <Characters>1474</Characters>
  <Lines>0</Lines>
  <Paragraphs>0</Paragraphs>
  <TotalTime>5</TotalTime>
  <ScaleCrop>false</ScaleCrop>
  <LinksUpToDate>false</LinksUpToDate>
  <CharactersWithSpaces>1497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2023-01-13T15:15:00Z</dcterms:created>
  <dc:creator>hao</dc:creator>
  <cp:lastModifiedBy>WPS_1645629855</cp:lastModifiedBy>
  <dcterms:modified xsi:type="dcterms:W3CDTF">2023-01-15T14:19:04Z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2475C9FCC14343D7B95110C1AC2FDBF7</vt:lpwstr>
  </property>
</Properties>
</file>