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ageBreakBefore w:val="0"/>
        <w:wordWrap/>
        <w:spacing w:before="160" w:after="0"/>
        <w:ind w:left="0" w:right="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i w:val="0"/>
          <w:spacing w:val="0"/>
          <w:sz w:val="44"/>
          <w:szCs w:val="44"/>
        </w:rPr>
        <w:t>高频次审批业务办事指引</w:t>
      </w:r>
    </w:p>
    <w:p>
      <w:pPr>
        <w:pageBreakBefore w:val="0"/>
        <w:wordWrap/>
        <w:spacing w:before="160" w:after="0"/>
        <w:ind w:left="0" w:right="0"/>
        <w:jc w:val="left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"/>
        </w:rPr>
      </w:pPr>
      <w:r>
        <w:rPr>
          <w:rFonts w:hint="eastAsia" w:ascii="仿宋_GB2312" w:hAnsi="仿宋_GB2312" w:eastAsia="仿宋_GB2312" w:cs="仿宋_GB2312"/>
          <w:b/>
          <w:i w:val="0"/>
          <w:spacing w:val="0"/>
          <w:sz w:val="32"/>
          <w:szCs w:val="32"/>
        </w:rPr>
        <w:t>事项名称</w:t>
      </w:r>
      <w:r>
        <w:rPr>
          <w:rFonts w:hint="eastAsia" w:ascii="仿宋_GB2312" w:hAnsi="仿宋_GB2312" w:eastAsia="仿宋_GB2312" w:cs="仿宋_GB2312"/>
          <w:b w:val="0"/>
          <w:i w:val="0"/>
          <w:spacing w:val="0"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b w:val="0"/>
          <w:i w:val="0"/>
          <w:spacing w:val="0"/>
          <w:sz w:val="32"/>
          <w:szCs w:val="32"/>
          <w:lang w:val="en-US" w:eastAsia="zh-CN"/>
        </w:rPr>
        <w:t>药品零售企业经营许可变更</w:t>
      </w:r>
      <w:bookmarkStart w:id="0" w:name="_GoBack"/>
      <w:bookmarkEnd w:id="0"/>
    </w:p>
    <w:p>
      <w:pPr>
        <w:pageBreakBefore w:val="0"/>
        <w:wordWrap/>
        <w:spacing w:before="160" w:after="0"/>
        <w:ind w:left="0" w:right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i w:val="0"/>
          <w:spacing w:val="0"/>
          <w:sz w:val="32"/>
          <w:szCs w:val="32"/>
        </w:rPr>
        <w:t>实施部门</w:t>
      </w:r>
      <w:r>
        <w:rPr>
          <w:rFonts w:hint="eastAsia" w:ascii="仿宋_GB2312" w:hAnsi="仿宋_GB2312" w:eastAsia="仿宋_GB2312" w:cs="仿宋_GB2312"/>
          <w:b w:val="0"/>
          <w:i w:val="0"/>
          <w:spacing w:val="0"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b w:val="0"/>
          <w:i w:val="0"/>
          <w:spacing w:val="0"/>
          <w:sz w:val="32"/>
          <w:szCs w:val="32"/>
          <w:lang w:eastAsia="zh-CN"/>
        </w:rPr>
        <w:t>大同市行政审批服务管理局市场准入一科</w:t>
      </w:r>
    </w:p>
    <w:tbl>
      <w:tblPr>
        <w:tblStyle w:val="3"/>
        <w:tblW w:w="0" w:type="auto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083"/>
        <w:gridCol w:w="9630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0" w:hRule="atLeast"/>
        </w:trPr>
        <w:tc>
          <w:tcPr>
            <w:tcW w:w="3083" w:type="dxa"/>
            <w:vAlign w:val="center"/>
          </w:tcPr>
          <w:p>
            <w:pPr>
              <w:pageBreakBefore w:val="0"/>
              <w:wordWrap/>
              <w:spacing w:before="0" w:after="0"/>
              <w:ind w:left="0" w:right="0" w:firstLine="0"/>
              <w:jc w:val="center"/>
              <w:textAlignment w:val="auto"/>
              <w:rPr>
                <w:rFonts w:hint="eastAsia"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b w:val="0"/>
                <w:i w:val="0"/>
                <w:spacing w:val="0"/>
                <w:sz w:val="24"/>
              </w:rPr>
              <w:t>类别</w:t>
            </w:r>
          </w:p>
        </w:tc>
        <w:tc>
          <w:tcPr>
            <w:tcW w:w="9630" w:type="dxa"/>
            <w:vAlign w:val="center"/>
          </w:tcPr>
          <w:p>
            <w:pPr>
              <w:pageBreakBefore w:val="0"/>
              <w:wordWrap/>
              <w:spacing w:before="0" w:after="0"/>
              <w:ind w:left="0" w:right="0" w:firstLine="0"/>
              <w:jc w:val="center"/>
              <w:textAlignment w:val="auto"/>
              <w:rPr>
                <w:rFonts w:hint="eastAsia"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b w:val="0"/>
                <w:i w:val="0"/>
                <w:spacing w:val="0"/>
                <w:sz w:val="24"/>
              </w:rPr>
              <w:t>内容说明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0" w:hRule="atLeast"/>
        </w:trPr>
        <w:tc>
          <w:tcPr>
            <w:tcW w:w="3083" w:type="dxa"/>
            <w:vAlign w:val="center"/>
          </w:tcPr>
          <w:p>
            <w:pPr>
              <w:pageBreakBefore w:val="0"/>
              <w:wordWrap/>
              <w:spacing w:before="0" w:after="0"/>
              <w:ind w:left="0" w:right="0" w:firstLine="0"/>
              <w:jc w:val="center"/>
              <w:textAlignment w:val="auto"/>
              <w:rPr>
                <w:sz w:val="24"/>
              </w:rPr>
            </w:pPr>
            <w:r>
              <w:rPr>
                <w:rFonts w:ascii="宋体" w:hAnsi="宋体" w:eastAsia="宋体" w:cs="宋体"/>
                <w:b/>
                <w:i w:val="0"/>
                <w:spacing w:val="0"/>
                <w:sz w:val="24"/>
              </w:rPr>
              <w:t>设定依据</w:t>
            </w:r>
          </w:p>
        </w:tc>
        <w:tc>
          <w:tcPr>
            <w:tcW w:w="9630" w:type="dxa"/>
            <w:vAlign w:val="center"/>
          </w:tcPr>
          <w:p>
            <w:pPr>
              <w:pageBreakBefore w:val="0"/>
              <w:wordWrap/>
              <w:spacing w:before="0" w:after="0"/>
              <w:ind w:left="0" w:right="0" w:firstLine="0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i w:val="0"/>
                <w:spacing w:val="0"/>
                <w:sz w:val="24"/>
              </w:rPr>
              <w:t>《中华人民共和国药品管理法》第</w:t>
            </w:r>
            <w:r>
              <w:rPr>
                <w:rFonts w:hint="eastAsia" w:ascii="仿宋_GB2312" w:hAnsi="仿宋_GB2312" w:eastAsia="仿宋_GB2312" w:cs="仿宋_GB2312"/>
                <w:b w:val="0"/>
                <w:i w:val="0"/>
                <w:spacing w:val="0"/>
                <w:sz w:val="24"/>
                <w:lang w:val="en-US" w:eastAsia="zh-CN"/>
              </w:rPr>
              <w:t>51</w:t>
            </w:r>
            <w:r>
              <w:rPr>
                <w:rFonts w:hint="eastAsia" w:ascii="仿宋_GB2312" w:hAnsi="仿宋_GB2312" w:eastAsia="仿宋_GB2312" w:cs="仿宋_GB2312"/>
                <w:b w:val="0"/>
                <w:i w:val="0"/>
                <w:spacing w:val="0"/>
                <w:sz w:val="24"/>
              </w:rPr>
              <w:t>条</w:t>
            </w:r>
            <w:r>
              <w:rPr>
                <w:rFonts w:hint="eastAsia" w:ascii="仿宋_GB2312" w:hAnsi="仿宋_GB2312" w:eastAsia="仿宋_GB2312" w:cs="仿宋_GB2312"/>
                <w:b w:val="0"/>
                <w:i w:val="0"/>
                <w:spacing w:val="0"/>
                <w:sz w:val="24"/>
                <w:lang w:eastAsia="zh-CN"/>
              </w:rPr>
              <w:t>、《药品经营和使用质量监督管理办法》第</w:t>
            </w:r>
            <w:r>
              <w:rPr>
                <w:rFonts w:hint="eastAsia" w:ascii="仿宋_GB2312" w:hAnsi="仿宋_GB2312" w:eastAsia="仿宋_GB2312" w:cs="仿宋_GB2312"/>
                <w:b w:val="0"/>
                <w:i w:val="0"/>
                <w:spacing w:val="0"/>
                <w:sz w:val="24"/>
                <w:lang w:val="en-US" w:eastAsia="zh-CN"/>
              </w:rPr>
              <w:t>23、24、25条。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0" w:hRule="atLeast"/>
        </w:trPr>
        <w:tc>
          <w:tcPr>
            <w:tcW w:w="3083" w:type="dxa"/>
            <w:vAlign w:val="center"/>
          </w:tcPr>
          <w:p>
            <w:pPr>
              <w:pageBreakBefore w:val="0"/>
              <w:wordWrap/>
              <w:spacing w:before="0" w:after="0"/>
              <w:ind w:left="0" w:right="0" w:firstLine="0"/>
              <w:jc w:val="center"/>
              <w:textAlignment w:val="auto"/>
              <w:rPr>
                <w:sz w:val="24"/>
              </w:rPr>
            </w:pPr>
            <w:r>
              <w:rPr>
                <w:rFonts w:ascii="宋体" w:hAnsi="宋体" w:eastAsia="宋体" w:cs="宋体"/>
                <w:b/>
                <w:i w:val="0"/>
                <w:spacing w:val="0"/>
                <w:sz w:val="24"/>
              </w:rPr>
              <w:t>申请条件</w:t>
            </w:r>
          </w:p>
        </w:tc>
        <w:tc>
          <w:tcPr>
            <w:tcW w:w="9630" w:type="dxa"/>
            <w:vAlign w:val="center"/>
          </w:tcPr>
          <w:p>
            <w:pPr>
              <w:pageBreakBefore w:val="0"/>
              <w:wordWrap/>
              <w:spacing w:before="0" w:after="0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i w:val="0"/>
                <w:spacing w:val="0"/>
                <w:sz w:val="24"/>
              </w:rPr>
              <w:t>1.已</w:t>
            </w:r>
            <w:r>
              <w:rPr>
                <w:rFonts w:hint="eastAsia" w:ascii="仿宋_GB2312" w:hAnsi="仿宋_GB2312" w:eastAsia="仿宋_GB2312" w:cs="仿宋_GB2312"/>
                <w:b w:val="0"/>
                <w:i w:val="0"/>
                <w:spacing w:val="0"/>
                <w:sz w:val="24"/>
                <w:lang w:eastAsia="zh-CN"/>
              </w:rPr>
              <w:t>取得《药品经营许可证》</w:t>
            </w:r>
            <w:r>
              <w:rPr>
                <w:rFonts w:hint="eastAsia" w:ascii="仿宋_GB2312" w:hAnsi="仿宋_GB2312" w:eastAsia="仿宋_GB2312" w:cs="仿宋_GB2312"/>
                <w:b w:val="0"/>
                <w:i w:val="0"/>
                <w:spacing w:val="0"/>
                <w:sz w:val="24"/>
              </w:rPr>
              <w:t>。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0" w:hRule="atLeast"/>
        </w:trPr>
        <w:tc>
          <w:tcPr>
            <w:tcW w:w="3083" w:type="dxa"/>
            <w:vAlign w:val="center"/>
          </w:tcPr>
          <w:p>
            <w:pPr>
              <w:pageBreakBefore w:val="0"/>
              <w:wordWrap/>
              <w:spacing w:before="0" w:after="0"/>
              <w:ind w:left="0" w:right="0" w:firstLine="0"/>
              <w:jc w:val="center"/>
              <w:textAlignment w:val="auto"/>
              <w:rPr>
                <w:sz w:val="24"/>
              </w:rPr>
            </w:pPr>
            <w:r>
              <w:rPr>
                <w:rFonts w:ascii="宋体" w:hAnsi="宋体" w:eastAsia="宋体" w:cs="宋体"/>
                <w:b/>
                <w:i w:val="0"/>
                <w:spacing w:val="0"/>
                <w:sz w:val="24"/>
              </w:rPr>
              <w:t>材料清单</w:t>
            </w:r>
          </w:p>
        </w:tc>
        <w:tc>
          <w:tcPr>
            <w:tcW w:w="9630" w:type="dxa"/>
            <w:vAlign w:val="center"/>
          </w:tcPr>
          <w:p>
            <w:pPr>
              <w:pageBreakBefore w:val="0"/>
              <w:wordWrap/>
              <w:spacing w:before="0" w:after="0"/>
              <w:ind w:left="0" w:right="0" w:firstLine="0"/>
              <w:jc w:val="center"/>
              <w:textAlignment w:val="auto"/>
              <w:rPr>
                <w:rFonts w:hint="eastAsia" w:ascii="CESI仿宋-GB2312" w:hAnsi="CESI仿宋-GB2312" w:eastAsia="CESI仿宋-GB2312" w:cs="CESI仿宋-GB2312"/>
                <w:sz w:val="24"/>
                <w:szCs w:val="24"/>
              </w:rPr>
            </w:pPr>
            <w:r>
              <w:rPr>
                <w:rFonts w:hint="eastAsia" w:ascii="CESI仿宋-GB2312" w:hAnsi="CESI仿宋-GB2312" w:eastAsia="CESI仿宋-GB2312" w:cs="CESI仿宋-GB2312"/>
                <w:b w:val="0"/>
                <w:i w:val="0"/>
                <w:spacing w:val="0"/>
                <w:sz w:val="24"/>
                <w:szCs w:val="24"/>
                <w:lang w:val="en-US" w:eastAsia="zh-CN"/>
              </w:rPr>
              <w:t>1.药品经营许可证变更申请表（原件，1份，模板见附件1）；2.拟变更企业法定代表人、企业负责人、质量负责人的身份证、学历证、执业资格或职称证明原件、复印件、体检证明（直接接触药品的人员需提交）、个人简历及任职文件，企业组织机构的设置与职能框架图（变更人员提交，原件或复印件，1份）；3.拟变更经营地址和仓库地址位置图、平面布置图（包括设置的自助售药机放置地址）及房屋产权或使用权证明（变更地址提交，复印件，1份）；4.企业质量管理文件及主要设施、设备（包括温湿度监测系统）目录，人员花名册（与经营方式变更相关人员的任命文件）、企业组织机构及职能架构图，计算机信息管理系统（包括信息追溯系统及计算机系统与总部系统对接情况）基本情况介绍和功能说明（变更经营方式提交，复印件，1份）；5.委托代理人办理的，提供申请人出具的授权委托书以及代理人的身份证明文件（原件或复印件，1份）；6.药品经营许可证正副本（原件，1份）。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0" w:hRule="atLeast"/>
        </w:trPr>
        <w:tc>
          <w:tcPr>
            <w:tcW w:w="3083" w:type="dxa"/>
            <w:vAlign w:val="center"/>
          </w:tcPr>
          <w:p>
            <w:pPr>
              <w:pageBreakBefore w:val="0"/>
              <w:wordWrap/>
              <w:spacing w:before="0" w:after="0"/>
              <w:ind w:left="0" w:right="0" w:firstLine="0"/>
              <w:jc w:val="center"/>
              <w:textAlignment w:val="auto"/>
              <w:rPr>
                <w:color w:val="auto"/>
                <w:sz w:val="24"/>
              </w:rPr>
            </w:pPr>
            <w:r>
              <w:rPr>
                <w:rFonts w:ascii="宋体" w:hAnsi="宋体" w:eastAsia="宋体" w:cs="宋体"/>
                <w:b/>
                <w:i w:val="0"/>
                <w:color w:val="auto"/>
                <w:spacing w:val="0"/>
                <w:sz w:val="24"/>
              </w:rPr>
              <w:t>办理流程</w:t>
            </w:r>
          </w:p>
        </w:tc>
        <w:tc>
          <w:tcPr>
            <w:tcW w:w="9630" w:type="dxa"/>
            <w:vAlign w:val="center"/>
          </w:tcPr>
          <w:p>
            <w:pPr>
              <w:pageBreakBefore w:val="0"/>
              <w:wordWrap/>
              <w:spacing w:before="0" w:after="0"/>
              <w:ind w:left="0" w:right="0" w:firstLine="0"/>
              <w:jc w:val="center"/>
              <w:textAlignment w:val="auto"/>
              <w:rPr>
                <w:rFonts w:hint="eastAsia" w:ascii="CESI仿宋-GB2312" w:hAnsi="CESI仿宋-GB2312" w:eastAsia="CESI仿宋-GB2312" w:cs="CESI仿宋-GB2312"/>
                <w:b w:val="0"/>
                <w:i w:val="0"/>
                <w:color w:val="auto"/>
                <w:spacing w:val="0"/>
                <w:sz w:val="24"/>
                <w:szCs w:val="24"/>
              </w:rPr>
            </w:pPr>
            <w:r>
              <w:rPr>
                <w:rFonts w:hint="eastAsia" w:ascii="CESI仿宋-GB2312" w:hAnsi="CESI仿宋-GB2312" w:eastAsia="CESI仿宋-GB2312" w:cs="CESI仿宋-GB2312"/>
                <w:b w:val="0"/>
                <w:i w:val="0"/>
                <w:color w:val="auto"/>
                <w:spacing w:val="0"/>
                <w:sz w:val="24"/>
                <w:szCs w:val="24"/>
              </w:rPr>
              <w:t>1.</w:t>
            </w:r>
            <w:r>
              <w:rPr>
                <w:rFonts w:hint="eastAsia" w:ascii="CESI仿宋-GB2312" w:hAnsi="CESI仿宋-GB2312" w:eastAsia="CESI仿宋-GB2312" w:cs="CESI仿宋-GB2312"/>
                <w:b/>
                <w:i w:val="0"/>
                <w:color w:val="auto"/>
                <w:spacing w:val="0"/>
                <w:sz w:val="24"/>
                <w:szCs w:val="24"/>
              </w:rPr>
              <w:t>线上申报</w:t>
            </w:r>
            <w:r>
              <w:rPr>
                <w:rFonts w:hint="eastAsia" w:ascii="CESI仿宋-GB2312" w:hAnsi="CESI仿宋-GB2312" w:eastAsia="CESI仿宋-GB2312" w:cs="CESI仿宋-GB2312"/>
                <w:b w:val="0"/>
                <w:i w:val="0"/>
                <w:color w:val="auto"/>
                <w:spacing w:val="0"/>
                <w:sz w:val="24"/>
                <w:szCs w:val="24"/>
              </w:rPr>
              <w:t>：登录</w:t>
            </w:r>
            <w:r>
              <w:rPr>
                <w:rFonts w:hint="eastAsia" w:ascii="CESI仿宋-GB2312" w:hAnsi="CESI仿宋-GB2312" w:eastAsia="CESI仿宋-GB2312" w:cs="CESI仿宋-GB2312"/>
                <w:color w:val="auto"/>
                <w:sz w:val="24"/>
                <w:szCs w:val="24"/>
                <w:lang w:val="en-US" w:eastAsia="zh-CN"/>
              </w:rPr>
              <w:t>大同市政务服务网</w:t>
            </w:r>
            <w:r>
              <w:rPr>
                <w:rFonts w:hint="eastAsia" w:ascii="CESI仿宋-GB2312" w:hAnsi="CESI仿宋-GB2312" w:eastAsia="CESI仿宋-GB2312" w:cs="CESI仿宋-GB2312"/>
                <w:b w:val="0"/>
                <w:i w:val="0"/>
                <w:color w:val="auto"/>
                <w:spacing w:val="0"/>
                <w:sz w:val="24"/>
                <w:szCs w:val="24"/>
              </w:rPr>
              <w:t>，</w:t>
            </w:r>
            <w:r>
              <w:rPr>
                <w:rFonts w:hint="eastAsia" w:ascii="CESI仿宋-GB2312" w:hAnsi="CESI仿宋-GB2312" w:eastAsia="CESI仿宋-GB2312" w:cs="CESI仿宋-GB2312"/>
                <w:color w:val="auto"/>
                <w:sz w:val="24"/>
                <w:szCs w:val="24"/>
                <w:lang w:val="en-US" w:eastAsia="zh-CN"/>
              </w:rPr>
              <w:t>点击“法人办事”，搜索“药品零售企业”</w:t>
            </w:r>
            <w:r>
              <w:rPr>
                <w:rFonts w:hint="eastAsia" w:ascii="CESI仿宋-GB2312" w:hAnsi="CESI仿宋-GB2312" w:eastAsia="CESI仿宋-GB2312" w:cs="CESI仿宋-GB2312"/>
                <w:b w:val="0"/>
                <w:i w:val="0"/>
                <w:color w:val="auto"/>
                <w:spacing w:val="0"/>
                <w:sz w:val="24"/>
                <w:szCs w:val="24"/>
              </w:rPr>
              <w:t>，填写申请表并上传材料；2.</w:t>
            </w:r>
            <w:r>
              <w:rPr>
                <w:rFonts w:hint="eastAsia" w:ascii="CESI仿宋-GB2312" w:hAnsi="CESI仿宋-GB2312" w:eastAsia="CESI仿宋-GB2312" w:cs="CESI仿宋-GB2312"/>
                <w:b/>
                <w:bCs/>
                <w:i w:val="0"/>
                <w:color w:val="auto"/>
                <w:spacing w:val="0"/>
                <w:sz w:val="24"/>
                <w:szCs w:val="24"/>
              </w:rPr>
              <w:t>线下办理：</w:t>
            </w:r>
            <w:r>
              <w:rPr>
                <w:rFonts w:hint="eastAsia" w:ascii="CESI仿宋-GB2312" w:hAnsi="CESI仿宋-GB2312" w:eastAsia="CESI仿宋-GB2312" w:cs="CESI仿宋-GB2312"/>
                <w:b w:val="0"/>
                <w:i w:val="0"/>
                <w:color w:val="auto"/>
                <w:spacing w:val="0"/>
                <w:sz w:val="24"/>
                <w:szCs w:val="24"/>
              </w:rPr>
              <w:t>申请人准备材料到大同市政务大厅2号厅综合窗口（一楼）</w:t>
            </w:r>
          </w:p>
          <w:p>
            <w:pPr>
              <w:pageBreakBefore w:val="0"/>
              <w:wordWrap/>
              <w:spacing w:before="0" w:after="0"/>
              <w:ind w:left="0" w:right="0" w:firstLine="0"/>
              <w:jc w:val="center"/>
              <w:textAlignment w:val="auto"/>
              <w:rPr>
                <w:rFonts w:hint="eastAsia" w:ascii="CESI仿宋-GB2312" w:hAnsi="CESI仿宋-GB2312" w:eastAsia="CESI仿宋-GB2312" w:cs="CESI仿宋-GB2312"/>
                <w:color w:val="auto"/>
                <w:sz w:val="24"/>
                <w:szCs w:val="24"/>
              </w:rPr>
            </w:pPr>
            <w:r>
              <w:rPr>
                <w:rFonts w:hint="eastAsia" w:ascii="CESI仿宋-GB2312" w:hAnsi="CESI仿宋-GB2312" w:eastAsia="CESI仿宋-GB2312" w:cs="CESI仿宋-GB2312"/>
                <w:b w:val="0"/>
                <w:i w:val="0"/>
                <w:color w:val="auto"/>
                <w:spacing w:val="0"/>
                <w:sz w:val="24"/>
                <w:szCs w:val="24"/>
              </w:rPr>
              <w:t>受理</w:t>
            </w:r>
            <w:r>
              <w:rPr>
                <w:rFonts w:hint="eastAsia" w:ascii="CESI仿宋-GB2312" w:hAnsi="CESI仿宋-GB2312" w:eastAsia="CESI仿宋-GB2312" w:cs="CESI仿宋-GB2312"/>
                <w:b w:val="0"/>
                <w:i w:val="0"/>
                <w:color w:val="auto"/>
                <w:spacing w:val="0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CESI仿宋-GB2312" w:hAnsi="CESI仿宋-GB2312" w:eastAsia="CESI仿宋-GB2312" w:cs="CESI仿宋-GB2312"/>
                <w:b w:val="0"/>
                <w:i w:val="0"/>
                <w:color w:val="auto"/>
                <w:spacing w:val="0"/>
                <w:sz w:val="24"/>
                <w:szCs w:val="24"/>
              </w:rPr>
              <w:t>审查</w:t>
            </w:r>
            <w:r>
              <w:rPr>
                <w:rFonts w:hint="eastAsia" w:ascii="CESI仿宋-GB2312" w:hAnsi="CESI仿宋-GB2312" w:eastAsia="CESI仿宋-GB2312" w:cs="CESI仿宋-GB2312"/>
                <w:b w:val="0"/>
                <w:i w:val="0"/>
                <w:color w:val="auto"/>
                <w:spacing w:val="0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CESI仿宋-GB2312" w:hAnsi="CESI仿宋-GB2312" w:eastAsia="CESI仿宋-GB2312" w:cs="CESI仿宋-GB2312"/>
                <w:b w:val="0"/>
                <w:i w:val="0"/>
                <w:color w:val="auto"/>
                <w:spacing w:val="0"/>
                <w:sz w:val="24"/>
                <w:szCs w:val="24"/>
              </w:rPr>
              <w:t>决定。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0" w:hRule="atLeast"/>
        </w:trPr>
        <w:tc>
          <w:tcPr>
            <w:tcW w:w="3083" w:type="dxa"/>
            <w:vAlign w:val="center"/>
          </w:tcPr>
          <w:p>
            <w:pPr>
              <w:pageBreakBefore w:val="0"/>
              <w:wordWrap/>
              <w:spacing w:before="0" w:after="0"/>
              <w:ind w:left="0" w:right="0" w:firstLine="0"/>
              <w:jc w:val="center"/>
              <w:textAlignment w:val="auto"/>
              <w:rPr>
                <w:sz w:val="24"/>
              </w:rPr>
            </w:pPr>
            <w:r>
              <w:rPr>
                <w:rFonts w:ascii="宋体" w:hAnsi="宋体" w:eastAsia="宋体" w:cs="宋体"/>
                <w:b/>
                <w:i w:val="0"/>
                <w:spacing w:val="0"/>
                <w:sz w:val="24"/>
              </w:rPr>
              <w:t>办理时限</w:t>
            </w:r>
          </w:p>
        </w:tc>
        <w:tc>
          <w:tcPr>
            <w:tcW w:w="9630" w:type="dxa"/>
            <w:vAlign w:val="center"/>
          </w:tcPr>
          <w:p>
            <w:pPr>
              <w:pageBreakBefore w:val="0"/>
              <w:wordWrap/>
              <w:spacing w:before="0" w:after="0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i w:val="0"/>
                <w:spacing w:val="0"/>
                <w:sz w:val="24"/>
              </w:rPr>
              <w:t>法定时限：</w:t>
            </w:r>
            <w:r>
              <w:rPr>
                <w:rFonts w:hint="eastAsia" w:ascii="仿宋_GB2312" w:hAnsi="仿宋_GB2312" w:eastAsia="仿宋_GB2312" w:cs="仿宋_GB2312"/>
                <w:b w:val="0"/>
                <w:i w:val="0"/>
                <w:spacing w:val="0"/>
                <w:sz w:val="24"/>
                <w:lang w:val="en-US" w:eastAsia="zh-CN"/>
              </w:rPr>
              <w:t>20</w:t>
            </w:r>
            <w:r>
              <w:rPr>
                <w:rFonts w:hint="eastAsia" w:ascii="仿宋_GB2312" w:hAnsi="仿宋_GB2312" w:eastAsia="仿宋_GB2312" w:cs="仿宋_GB2312"/>
                <w:b w:val="0"/>
                <w:i w:val="0"/>
                <w:spacing w:val="0"/>
                <w:sz w:val="24"/>
              </w:rPr>
              <w:t>个工作日；承诺时限：</w:t>
            </w:r>
            <w:r>
              <w:rPr>
                <w:rFonts w:hint="eastAsia" w:ascii="仿宋_GB2312" w:hAnsi="仿宋_GB2312" w:eastAsia="仿宋_GB2312" w:cs="仿宋_GB2312"/>
                <w:b w:val="0"/>
                <w:i w:val="0"/>
                <w:spacing w:val="0"/>
                <w:sz w:val="24"/>
                <w:lang w:val="en-US" w:eastAsia="zh-CN"/>
              </w:rPr>
              <w:t>6</w:t>
            </w:r>
            <w:r>
              <w:rPr>
                <w:rFonts w:hint="eastAsia" w:ascii="仿宋_GB2312" w:hAnsi="仿宋_GB2312" w:eastAsia="仿宋_GB2312" w:cs="仿宋_GB2312"/>
                <w:b w:val="0"/>
                <w:i w:val="0"/>
                <w:spacing w:val="0"/>
                <w:sz w:val="24"/>
              </w:rPr>
              <w:t>个工作日（技术审查和现场勘验不计入时限）</w:t>
            </w:r>
            <w:r>
              <w:rPr>
                <w:rFonts w:hint="eastAsia" w:ascii="仿宋_GB2312" w:hAnsi="仿宋_GB2312" w:eastAsia="仿宋_GB2312" w:cs="仿宋_GB2312"/>
                <w:b w:val="0"/>
                <w:i w:val="0"/>
                <w:spacing w:val="0"/>
                <w:sz w:val="24"/>
                <w:lang w:val="en-US" w:eastAsia="zh-CN"/>
              </w:rPr>
              <w:t>/1个工作日（承诺事项）</w:t>
            </w:r>
            <w:r>
              <w:rPr>
                <w:rFonts w:hint="eastAsia" w:ascii="仿宋_GB2312" w:hAnsi="仿宋_GB2312" w:eastAsia="仿宋_GB2312" w:cs="仿宋_GB2312"/>
                <w:b w:val="0"/>
                <w:i w:val="0"/>
                <w:spacing w:val="0"/>
                <w:sz w:val="24"/>
              </w:rPr>
              <w:t>。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0" w:hRule="atLeast"/>
        </w:trPr>
        <w:tc>
          <w:tcPr>
            <w:tcW w:w="3083" w:type="dxa"/>
            <w:vAlign w:val="center"/>
          </w:tcPr>
          <w:p>
            <w:pPr>
              <w:pageBreakBefore w:val="0"/>
              <w:wordWrap/>
              <w:spacing w:before="0" w:after="0"/>
              <w:ind w:left="0" w:right="0" w:firstLine="0"/>
              <w:jc w:val="center"/>
              <w:textAlignment w:val="auto"/>
              <w:rPr>
                <w:sz w:val="24"/>
              </w:rPr>
            </w:pPr>
            <w:r>
              <w:rPr>
                <w:rFonts w:ascii="宋体" w:hAnsi="宋体" w:eastAsia="宋体" w:cs="宋体"/>
                <w:b/>
                <w:i w:val="0"/>
                <w:spacing w:val="0"/>
                <w:sz w:val="24"/>
              </w:rPr>
              <w:t>收费标准</w:t>
            </w:r>
          </w:p>
        </w:tc>
        <w:tc>
          <w:tcPr>
            <w:tcW w:w="9630" w:type="dxa"/>
            <w:vAlign w:val="center"/>
          </w:tcPr>
          <w:p>
            <w:pPr>
              <w:pageBreakBefore w:val="0"/>
              <w:wordWrap/>
              <w:spacing w:before="0" w:after="0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i w:val="0"/>
                <w:spacing w:val="0"/>
                <w:sz w:val="24"/>
              </w:rPr>
              <w:t>不收费。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0" w:hRule="atLeast"/>
        </w:trPr>
        <w:tc>
          <w:tcPr>
            <w:tcW w:w="3083" w:type="dxa"/>
            <w:vAlign w:val="center"/>
          </w:tcPr>
          <w:p>
            <w:pPr>
              <w:pageBreakBefore w:val="0"/>
              <w:wordWrap/>
              <w:spacing w:before="0" w:after="0"/>
              <w:ind w:left="0" w:right="0" w:firstLine="0"/>
              <w:jc w:val="center"/>
              <w:textAlignment w:val="auto"/>
              <w:rPr>
                <w:sz w:val="24"/>
              </w:rPr>
            </w:pPr>
            <w:r>
              <w:rPr>
                <w:rFonts w:ascii="宋体" w:hAnsi="宋体" w:eastAsia="宋体" w:cs="宋体"/>
                <w:b/>
                <w:i w:val="0"/>
                <w:spacing w:val="0"/>
                <w:sz w:val="24"/>
              </w:rPr>
              <w:t>咨询渠道</w:t>
            </w:r>
          </w:p>
        </w:tc>
        <w:tc>
          <w:tcPr>
            <w:tcW w:w="9630" w:type="dxa"/>
            <w:vAlign w:val="center"/>
          </w:tcPr>
          <w:p>
            <w:pPr>
              <w:pageBreakBefore w:val="0"/>
              <w:wordWrap/>
              <w:spacing w:before="0" w:after="0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i w:val="0"/>
                <w:spacing w:val="0"/>
                <w:sz w:val="24"/>
              </w:rPr>
              <w:t>窗口电话：</w:t>
            </w:r>
            <w:r>
              <w:rPr>
                <w:rFonts w:hint="eastAsia" w:ascii="仿宋_GB2312" w:hAnsi="仿宋_GB2312" w:eastAsia="仿宋_GB2312" w:cs="仿宋_GB2312"/>
                <w:b w:val="0"/>
                <w:i w:val="0"/>
                <w:spacing w:val="0"/>
                <w:sz w:val="24"/>
                <w:lang w:val="en-US" w:eastAsia="zh-CN"/>
              </w:rPr>
              <w:t>0352-7982038</w:t>
            </w:r>
            <w:r>
              <w:rPr>
                <w:rFonts w:hint="eastAsia" w:ascii="仿宋_GB2312" w:hAnsi="仿宋_GB2312" w:eastAsia="仿宋_GB2312" w:cs="仿宋_GB2312"/>
                <w:b w:val="0"/>
                <w:i w:val="0"/>
                <w:spacing w:val="0"/>
                <w:sz w:val="24"/>
              </w:rPr>
              <w:t>；监督电话：0352-6067890。</w:t>
            </w:r>
          </w:p>
        </w:tc>
      </w:tr>
    </w:tbl>
    <w:p>
      <w:pPr>
        <w:pageBreakBefore w:val="0"/>
        <w:wordWrap/>
        <w:spacing w:before="160" w:after="0"/>
        <w:ind w:left="0" w:right="0"/>
        <w:jc w:val="left"/>
        <w:textAlignment w:val="auto"/>
        <w:rPr>
          <w:sz w:val="28"/>
          <w:szCs w:val="28"/>
        </w:rPr>
      </w:pPr>
      <w:r>
        <w:rPr>
          <w:rFonts w:ascii="宋体" w:hAnsi="宋体" w:eastAsia="宋体" w:cs="宋体"/>
          <w:b w:val="0"/>
          <w:i w:val="0"/>
          <w:spacing w:val="0"/>
          <w:sz w:val="28"/>
          <w:szCs w:val="28"/>
        </w:rPr>
        <w:t>附件：《</w:t>
      </w:r>
      <w:r>
        <w:rPr>
          <w:rFonts w:hint="eastAsia" w:ascii="宋体" w:hAnsi="宋体" w:eastAsia="宋体" w:cs="宋体"/>
          <w:b w:val="0"/>
          <w:i w:val="0"/>
          <w:spacing w:val="0"/>
          <w:sz w:val="28"/>
          <w:szCs w:val="28"/>
        </w:rPr>
        <w:t>药品经营许可证变更申请表</w:t>
      </w:r>
      <w:r>
        <w:rPr>
          <w:rFonts w:ascii="宋体" w:hAnsi="宋体" w:eastAsia="宋体" w:cs="宋体"/>
          <w:b w:val="0"/>
          <w:i w:val="0"/>
          <w:spacing w:val="0"/>
          <w:sz w:val="28"/>
          <w:szCs w:val="28"/>
        </w:rPr>
        <w:t>》（标准化模板，含填写示例）</w:t>
      </w:r>
    </w:p>
    <w:p>
      <w:pPr>
        <w:pageBreakBefore w:val="0"/>
        <w:wordWrap/>
        <w:spacing w:before="160" w:after="0"/>
        <w:ind w:left="0" w:right="0"/>
        <w:jc w:val="left"/>
        <w:textAlignment w:val="auto"/>
        <w:rPr>
          <w:rFonts w:hint="eastAsia" w:eastAsia="宋体"/>
          <w:sz w:val="28"/>
          <w:szCs w:val="28"/>
          <w:lang w:eastAsia="zh-CN"/>
        </w:rPr>
      </w:pPr>
      <w:r>
        <w:rPr>
          <w:rFonts w:ascii="宋体" w:hAnsi="宋体" w:eastAsia="宋体" w:cs="宋体"/>
          <w:b/>
          <w:i w:val="0"/>
          <w:spacing w:val="0"/>
          <w:sz w:val="28"/>
          <w:szCs w:val="28"/>
        </w:rPr>
        <w:t>特别说明</w:t>
      </w:r>
      <w:r>
        <w:rPr>
          <w:rFonts w:hint="eastAsia" w:ascii="宋体" w:hAnsi="宋体" w:eastAsia="宋体" w:cs="宋体"/>
          <w:b/>
          <w:i w:val="0"/>
          <w:spacing w:val="0"/>
          <w:sz w:val="28"/>
          <w:szCs w:val="28"/>
          <w:lang w:eastAsia="zh-CN"/>
        </w:rPr>
        <w:t>：</w:t>
      </w:r>
    </w:p>
    <w:p>
      <w:pPr>
        <w:pageBreakBefore w:val="0"/>
        <w:numPr>
          <w:ilvl w:val="0"/>
          <w:numId w:val="0"/>
        </w:numPr>
        <w:wordWrap/>
        <w:spacing w:before="160" w:after="0"/>
        <w:ind w:leftChars="0" w:right="0" w:rightChars="0"/>
        <w:jc w:val="left"/>
        <w:textAlignment w:val="auto"/>
        <w:rPr>
          <w:sz w:val="28"/>
          <w:szCs w:val="28"/>
        </w:rPr>
      </w:pPr>
      <w:r>
        <w:rPr>
          <w:rFonts w:hint="eastAsia" w:ascii="宋体" w:hAnsi="宋体" w:eastAsia="宋体" w:cs="宋体"/>
          <w:b w:val="0"/>
          <w:i w:val="0"/>
          <w:spacing w:val="0"/>
          <w:sz w:val="28"/>
          <w:szCs w:val="28"/>
          <w:lang w:val="en-US" w:eastAsia="zh-CN"/>
        </w:rPr>
        <w:t>1.</w:t>
      </w:r>
      <w:r>
        <w:rPr>
          <w:rFonts w:ascii="宋体" w:hAnsi="宋体" w:eastAsia="宋体" w:cs="宋体"/>
          <w:b w:val="0"/>
          <w:i w:val="0"/>
          <w:spacing w:val="0"/>
          <w:sz w:val="28"/>
          <w:szCs w:val="28"/>
        </w:rPr>
        <w:t>本指引适用于[本市行政区域内</w:t>
      </w:r>
      <w:r>
        <w:rPr>
          <w:rFonts w:hint="eastAsia" w:ascii="宋体" w:hAnsi="宋体" w:eastAsia="宋体" w:cs="宋体"/>
          <w:b w:val="0"/>
          <w:i w:val="0"/>
          <w:spacing w:val="0"/>
          <w:sz w:val="28"/>
          <w:szCs w:val="28"/>
          <w:lang w:eastAsia="zh-CN"/>
        </w:rPr>
        <w:t>（除大同市经济技术开发区）零售药店</w:t>
      </w:r>
      <w:r>
        <w:rPr>
          <w:rFonts w:ascii="宋体" w:hAnsi="宋体" w:eastAsia="宋体" w:cs="宋体"/>
          <w:b w:val="0"/>
          <w:i w:val="0"/>
          <w:spacing w:val="0"/>
          <w:sz w:val="28"/>
          <w:szCs w:val="28"/>
        </w:rPr>
        <w:t>《</w:t>
      </w:r>
      <w:r>
        <w:rPr>
          <w:rFonts w:hint="eastAsia" w:ascii="宋体" w:hAnsi="宋体" w:eastAsia="宋体" w:cs="宋体"/>
          <w:b w:val="0"/>
          <w:i w:val="0"/>
          <w:spacing w:val="0"/>
          <w:sz w:val="28"/>
          <w:szCs w:val="28"/>
        </w:rPr>
        <w:t>药品经营许可证</w:t>
      </w:r>
      <w:r>
        <w:rPr>
          <w:rFonts w:ascii="宋体" w:hAnsi="宋体" w:eastAsia="宋体" w:cs="宋体"/>
          <w:b w:val="0"/>
          <w:i w:val="0"/>
          <w:spacing w:val="0"/>
          <w:sz w:val="28"/>
          <w:szCs w:val="28"/>
        </w:rPr>
        <w:t>》</w:t>
      </w:r>
      <w:r>
        <w:rPr>
          <w:rFonts w:hint="eastAsia" w:ascii="宋体" w:hAnsi="宋体" w:eastAsia="宋体" w:cs="宋体"/>
          <w:b w:val="0"/>
          <w:i w:val="0"/>
          <w:spacing w:val="0"/>
          <w:sz w:val="28"/>
          <w:szCs w:val="28"/>
          <w:lang w:eastAsia="zh-CN"/>
        </w:rPr>
        <w:t>变更</w:t>
      </w:r>
      <w:r>
        <w:rPr>
          <w:rFonts w:ascii="宋体" w:hAnsi="宋体" w:eastAsia="宋体" w:cs="宋体"/>
          <w:b w:val="0"/>
          <w:i w:val="0"/>
          <w:spacing w:val="0"/>
          <w:sz w:val="28"/>
          <w:szCs w:val="28"/>
        </w:rPr>
        <w:t>]。</w:t>
      </w:r>
    </w:p>
    <w:p>
      <w:pPr>
        <w:pageBreakBefore w:val="0"/>
        <w:wordWrap/>
        <w:spacing w:before="160" w:after="0"/>
        <w:ind w:left="0" w:right="0"/>
        <w:jc w:val="left"/>
        <w:textAlignment w:val="auto"/>
        <w:rPr>
          <w:sz w:val="24"/>
        </w:rPr>
        <w:sectPr>
          <w:headerReference r:id="rId3" w:type="default"/>
          <w:footerReference r:id="rId4" w:type="default"/>
          <w:pgSz w:w="15840" w:h="11900" w:orient="landscape"/>
          <w:pgMar w:top="1800" w:right="1440" w:bottom="1800" w:left="1440" w:header="720" w:footer="720" w:gutter="0"/>
          <w:cols w:space="720" w:num="1"/>
        </w:sectPr>
      </w:pPr>
    </w:p>
    <w:p>
      <w:pPr>
        <w:pageBreakBefore w:val="0"/>
        <w:wordWrap/>
        <w:spacing w:before="160" w:after="0"/>
        <w:ind w:left="0" w:right="0"/>
        <w:jc w:val="left"/>
        <w:textAlignment w:val="auto"/>
        <w:rPr>
          <w:rFonts w:hint="eastAsia" w:ascii="宋体" w:hAnsi="宋体" w:eastAsia="宋体" w:cs="宋体"/>
          <w:b w:val="0"/>
          <w:i w:val="0"/>
          <w:spacing w:val="0"/>
          <w:sz w:val="28"/>
          <w:szCs w:val="28"/>
          <w:lang w:eastAsia="zh-CN"/>
        </w:rPr>
        <w:sectPr>
          <w:pgSz w:w="11900" w:h="15840"/>
          <w:pgMar w:top="1440" w:right="1800" w:bottom="1440" w:left="1800" w:header="720" w:footer="720" w:gutter="0"/>
          <w:cols w:space="720" w:num="1"/>
        </w:sectPr>
      </w:pPr>
      <w:r>
        <w:rPr>
          <w:rFonts w:hint="eastAsia" w:ascii="宋体" w:hAnsi="宋体" w:eastAsia="宋体" w:cs="宋体"/>
          <w:b w:val="0"/>
          <w:i w:val="0"/>
          <w:spacing w:val="0"/>
          <w:sz w:val="28"/>
          <w:szCs w:val="28"/>
          <w:lang w:eastAsia="zh-CN"/>
        </w:rPr>
        <w:t>附件：</w:t>
      </w:r>
      <w:r>
        <w:rPr>
          <w:rFonts w:hint="eastAsia" w:ascii="宋体" w:hAnsi="宋体" w:eastAsia="宋体" w:cs="宋体"/>
          <w:b w:val="0"/>
          <w:i w:val="0"/>
          <w:spacing w:val="0"/>
          <w:sz w:val="28"/>
          <w:szCs w:val="28"/>
          <w:lang w:eastAsia="zh-CN"/>
        </w:rPr>
        <w:drawing>
          <wp:inline distT="0" distB="0" distL="114300" distR="114300">
            <wp:extent cx="5266690" cy="7421245"/>
            <wp:effectExtent l="0" t="0" r="10160" b="8255"/>
            <wp:docPr id="1" name="图片 1" descr="1"/>
            <wp:cNvGraphicFramePr>
              <a:graphicFrameLocks xmlns:a="http://schemas.openxmlformats.org/drawingml/2006/main" noChangeAspect="tru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"/>
                    <pic:cNvPicPr>
                      <a:picLocks noChangeAspect="true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74212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ageBreakBefore w:val="0"/>
        <w:wordWrap/>
        <w:spacing w:before="160" w:after="0"/>
        <w:ind w:left="0" w:right="0"/>
        <w:jc w:val="left"/>
        <w:textAlignment w:val="auto"/>
        <w:rPr>
          <w:rFonts w:ascii="宋体" w:hAnsi="宋体" w:eastAsia="宋体" w:cs="宋体"/>
          <w:b w:val="0"/>
          <w:i w:val="0"/>
          <w:spacing w:val="0"/>
          <w:sz w:val="28"/>
          <w:szCs w:val="28"/>
        </w:rPr>
      </w:pPr>
    </w:p>
    <w:p>
      <w:pPr>
        <w:pageBreakBefore w:val="0"/>
        <w:wordWrap/>
        <w:spacing w:before="160" w:after="0"/>
        <w:ind w:left="0" w:right="0"/>
        <w:jc w:val="left"/>
        <w:textAlignment w:val="auto"/>
        <w:rPr>
          <w:rFonts w:hint="eastAsia" w:ascii="宋体" w:hAnsi="宋体" w:eastAsia="宋体" w:cs="宋体"/>
          <w:b w:val="0"/>
          <w:i w:val="0"/>
          <w:spacing w:val="0"/>
          <w:sz w:val="28"/>
          <w:szCs w:val="28"/>
          <w:lang w:eastAsia="zh-CN"/>
        </w:rPr>
      </w:pPr>
    </w:p>
    <w:p>
      <w:pPr>
        <w:pageBreakBefore w:val="0"/>
        <w:wordWrap/>
        <w:spacing w:before="160" w:after="0"/>
        <w:ind w:left="0" w:right="0"/>
        <w:jc w:val="left"/>
        <w:textAlignment w:val="auto"/>
        <w:rPr>
          <w:rFonts w:hint="eastAsia" w:ascii="宋体" w:hAnsi="宋体" w:eastAsia="宋体" w:cs="宋体"/>
          <w:b w:val="0"/>
          <w:i w:val="0"/>
          <w:spacing w:val="0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i w:val="0"/>
          <w:spacing w:val="0"/>
          <w:sz w:val="28"/>
          <w:szCs w:val="28"/>
          <w:lang w:eastAsia="zh-CN"/>
        </w:rPr>
        <w:drawing>
          <wp:inline distT="0" distB="0" distL="114300" distR="114300">
            <wp:extent cx="5266690" cy="7373620"/>
            <wp:effectExtent l="0" t="0" r="10160" b="17780"/>
            <wp:docPr id="2" name="图片 2" descr="2"/>
            <wp:cNvGraphicFramePr>
              <a:graphicFrameLocks xmlns:a="http://schemas.openxmlformats.org/drawingml/2006/main" noChangeAspect="tru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2"/>
                    <pic:cNvPicPr>
                      <a:picLocks noChangeAspect="true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7373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ageBreakBefore w:val="0"/>
        <w:wordWrap/>
        <w:spacing w:before="160" w:after="0"/>
        <w:ind w:left="0" w:right="0"/>
        <w:jc w:val="left"/>
        <w:textAlignment w:val="auto"/>
        <w:rPr>
          <w:rFonts w:hint="eastAsia" w:ascii="宋体" w:hAnsi="宋体" w:eastAsia="宋体" w:cs="宋体"/>
          <w:b w:val="0"/>
          <w:i w:val="0"/>
          <w:spacing w:val="0"/>
          <w:sz w:val="28"/>
          <w:szCs w:val="28"/>
          <w:lang w:eastAsia="zh-CN"/>
        </w:rPr>
      </w:pPr>
    </w:p>
    <w:p>
      <w:pPr>
        <w:pageBreakBefore w:val="0"/>
        <w:wordWrap/>
        <w:spacing w:before="160" w:after="0"/>
        <w:ind w:left="0" w:right="0"/>
        <w:jc w:val="left"/>
        <w:textAlignment w:val="auto"/>
        <w:rPr>
          <w:rFonts w:hint="eastAsia" w:ascii="宋体" w:hAnsi="宋体" w:eastAsia="宋体" w:cs="宋体"/>
          <w:b w:val="0"/>
          <w:i w:val="0"/>
          <w:spacing w:val="0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i w:val="0"/>
          <w:spacing w:val="0"/>
          <w:sz w:val="28"/>
          <w:szCs w:val="28"/>
          <w:lang w:eastAsia="zh-CN"/>
        </w:rPr>
        <w:drawing>
          <wp:inline distT="0" distB="0" distL="114300" distR="114300">
            <wp:extent cx="5266690" cy="7421245"/>
            <wp:effectExtent l="0" t="0" r="10160" b="8255"/>
            <wp:docPr id="3" name="图片 3" descr="3"/>
            <wp:cNvGraphicFramePr>
              <a:graphicFrameLocks xmlns:a="http://schemas.openxmlformats.org/drawingml/2006/main" noChangeAspect="tru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3"/>
                    <pic:cNvPicPr>
                      <a:picLocks noChangeAspect="true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74212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type w:val="continuous"/>
      <w:pgSz w:w="11900" w:h="15840"/>
      <w:pgMar w:top="1440" w:right="1800" w:bottom="1440" w:left="180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">
    <w:altName w:val="华文仿宋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CESI仿宋-GB2312">
    <w:altName w:val="方正仿宋_GBK"/>
    <w:panose1 w:val="02000500000000000000"/>
    <w:charset w:val="86"/>
    <w:family w:val="auto"/>
    <w:pitch w:val="default"/>
    <w:sig w:usb0="00000000" w:usb1="00000000" w:usb2="00000010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等线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false"/>
  <w:bordersDoNotSurroundFooter w:val="false"/>
  <w:documentProtection w:enforcement="0"/>
  <w:displayHorizontalDrawingGridEvery w:val="1"/>
  <w:displayVerticalDrawingGridEvery w:val="1"/>
  <w:noPunctuationKerning w:val="true"/>
  <w:compat>
    <w:ulTrailSpace/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</w:compat>
  <w:rsids>
    <w:rsidRoot w:val="00000000"/>
    <w:rsid w:val="03A06819"/>
    <w:rsid w:val="06E34D85"/>
    <w:rsid w:val="122666A3"/>
    <w:rsid w:val="17E35A21"/>
    <w:rsid w:val="1BB32128"/>
    <w:rsid w:val="1EFB1B08"/>
    <w:rsid w:val="259414C6"/>
    <w:rsid w:val="269A0EA3"/>
    <w:rsid w:val="27BF0078"/>
    <w:rsid w:val="2AA427E9"/>
    <w:rsid w:val="2BBB0274"/>
    <w:rsid w:val="2E35C7AF"/>
    <w:rsid w:val="33F7930B"/>
    <w:rsid w:val="37BA6303"/>
    <w:rsid w:val="3967AEE1"/>
    <w:rsid w:val="3B8F03A7"/>
    <w:rsid w:val="3C6B2EB6"/>
    <w:rsid w:val="3DBAC396"/>
    <w:rsid w:val="3ECD6E5D"/>
    <w:rsid w:val="3F7BEF2E"/>
    <w:rsid w:val="3FE51722"/>
    <w:rsid w:val="3FF5F067"/>
    <w:rsid w:val="4203666A"/>
    <w:rsid w:val="475D5E42"/>
    <w:rsid w:val="479C7FA7"/>
    <w:rsid w:val="4A331C7B"/>
    <w:rsid w:val="4BBF57A3"/>
    <w:rsid w:val="4E5E5B2E"/>
    <w:rsid w:val="4EDF6453"/>
    <w:rsid w:val="5677E0C1"/>
    <w:rsid w:val="574C69A9"/>
    <w:rsid w:val="5AEDBEAA"/>
    <w:rsid w:val="5B6B25C1"/>
    <w:rsid w:val="5B6DFAFD"/>
    <w:rsid w:val="5B9B20C0"/>
    <w:rsid w:val="5F677359"/>
    <w:rsid w:val="5F993945"/>
    <w:rsid w:val="5FF85760"/>
    <w:rsid w:val="5FFDDA12"/>
    <w:rsid w:val="64A75A99"/>
    <w:rsid w:val="6ABA06E6"/>
    <w:rsid w:val="6DDBA74C"/>
    <w:rsid w:val="6EBF4D19"/>
    <w:rsid w:val="6EF1E3EC"/>
    <w:rsid w:val="6FFEFE6A"/>
    <w:rsid w:val="70A261E3"/>
    <w:rsid w:val="74F74C61"/>
    <w:rsid w:val="753F5337"/>
    <w:rsid w:val="75E734C9"/>
    <w:rsid w:val="75FC26DA"/>
    <w:rsid w:val="76AE4230"/>
    <w:rsid w:val="77BF28F8"/>
    <w:rsid w:val="77DB53D2"/>
    <w:rsid w:val="77DF20B1"/>
    <w:rsid w:val="77F6EB2E"/>
    <w:rsid w:val="7A7E7171"/>
    <w:rsid w:val="7CAD9B25"/>
    <w:rsid w:val="7CEC844E"/>
    <w:rsid w:val="7CFBD467"/>
    <w:rsid w:val="7D7FE034"/>
    <w:rsid w:val="7DDF15B8"/>
    <w:rsid w:val="7EAB4E7D"/>
    <w:rsid w:val="7EBFD7BA"/>
    <w:rsid w:val="7EE71B9A"/>
    <w:rsid w:val="7EFEB415"/>
    <w:rsid w:val="7F4D4145"/>
    <w:rsid w:val="7F76B7D2"/>
    <w:rsid w:val="7FBFA034"/>
    <w:rsid w:val="7FC5B87C"/>
    <w:rsid w:val="7FCFA34E"/>
    <w:rsid w:val="7FD54FAA"/>
    <w:rsid w:val="7FD760FA"/>
    <w:rsid w:val="7FE76FB2"/>
    <w:rsid w:val="7FF97164"/>
    <w:rsid w:val="87FD905B"/>
    <w:rsid w:val="9F36A69B"/>
    <w:rsid w:val="ABF72D18"/>
    <w:rsid w:val="B74FE798"/>
    <w:rsid w:val="BD2D20F5"/>
    <w:rsid w:val="BD9B8CD6"/>
    <w:rsid w:val="BF6E1747"/>
    <w:rsid w:val="BF7A0B2C"/>
    <w:rsid w:val="BFB32EAE"/>
    <w:rsid w:val="CAFBC0F6"/>
    <w:rsid w:val="CB0B95B8"/>
    <w:rsid w:val="CF6E8F2F"/>
    <w:rsid w:val="CFFF06D5"/>
    <w:rsid w:val="D1FF0F61"/>
    <w:rsid w:val="D35F56D2"/>
    <w:rsid w:val="D3ED27FC"/>
    <w:rsid w:val="D7D7EC35"/>
    <w:rsid w:val="DB2DEA4C"/>
    <w:rsid w:val="DBEF5807"/>
    <w:rsid w:val="DCD39271"/>
    <w:rsid w:val="DDB951BC"/>
    <w:rsid w:val="DF7F3523"/>
    <w:rsid w:val="DFE74B1A"/>
    <w:rsid w:val="E1B48114"/>
    <w:rsid w:val="E35C2C93"/>
    <w:rsid w:val="E6F63670"/>
    <w:rsid w:val="E7BFF42D"/>
    <w:rsid w:val="EF7F3896"/>
    <w:rsid w:val="EFDBB466"/>
    <w:rsid w:val="EFEFA2C4"/>
    <w:rsid w:val="EFFB5C65"/>
    <w:rsid w:val="EFFFF3F3"/>
    <w:rsid w:val="F076433B"/>
    <w:rsid w:val="F37CA089"/>
    <w:rsid w:val="F3BE9B4A"/>
    <w:rsid w:val="F3DD884C"/>
    <w:rsid w:val="F6EB2012"/>
    <w:rsid w:val="F71E140F"/>
    <w:rsid w:val="F7F33414"/>
    <w:rsid w:val="F7FFE87E"/>
    <w:rsid w:val="FB7D18E2"/>
    <w:rsid w:val="FC819A16"/>
    <w:rsid w:val="FCFFBF05"/>
    <w:rsid w:val="FEDF2DA4"/>
    <w:rsid w:val="FEF97227"/>
    <w:rsid w:val="FEFBF5F5"/>
    <w:rsid w:val="FF7F34AF"/>
    <w:rsid w:val="FFBEB2EB"/>
    <w:rsid w:val="FFBEEBE1"/>
    <w:rsid w:val="FFD9C50F"/>
    <w:rsid w:val="FFF8884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z w:val="21"/>
      <w:szCs w:val="22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3.jpeg"/><Relationship Id="rId7" Type="http://schemas.openxmlformats.org/officeDocument/2006/relationships/image" Target="media/image2.jpeg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3</Pages>
  <Words>1202</Words>
  <Characters>1267</Characters>
  <TotalTime>16</TotalTime>
  <ScaleCrop>false</ScaleCrop>
  <LinksUpToDate>false</LinksUpToDate>
  <CharactersWithSpaces>1303</CharactersWithSpaces>
  <Application>WPS Office_11.8.2.9831_F1E327BC-269C-435d-A152-05C5408002CA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2026-04-29T10:12:00Z</dcterms:created>
  <dc:creator>Apache POI</dc:creator>
  <cp:lastModifiedBy>dt</cp:lastModifiedBy>
  <dcterms:modified xsi:type="dcterms:W3CDTF">2026-05-29T09:51:46Z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IGC">
    <vt:lpwstr>{"ContentPropagator":"001191440101MA9Y9T4H7A00000","Label":"1","ReservedCode1":"n56KxhNNxH3cIPliRh/ALwFNbC8Wri/PEQ8X7YWudf4=","ProduceID":"doc_sgs:e12b74dc-1c02-459a-aae6-b3f74358aebd","ReservedCode2":"n56KxhNNxH3cIPliRh/ALwFNbC8Wri/PEQ8X7YWudf4=","PropagateID":"doc_sgs:e12b74dc-1c02-459a-aae6-b3f74358aebd","ContentProducer":"001191440101MA9Y9T4H7A00000"}</vt:lpwstr>
  </property>
  <property fmtid="{D5CDD505-2E9C-101B-9397-08002B2CF9AE}" pid="3" name="KSOProductBuildVer">
    <vt:lpwstr>2052-11.8.2.9831</vt:lpwstr>
  </property>
  <property fmtid="{D5CDD505-2E9C-101B-9397-08002B2CF9AE}" pid="4" name="KSOTemplateDocerSaveRecord">
    <vt:lpwstr>eyJoZGlkIjoiN2YyM2M2M2U3YzhlNjA5OTA0OTg2ZTM5NmIxNWY2NzYiLCJ1c2VySWQiOiI1NDQxODE3ODcifQ==</vt:lpwstr>
  </property>
  <property fmtid="{D5CDD505-2E9C-101B-9397-08002B2CF9AE}" pid="5" name="ICV">
    <vt:lpwstr>9B7FCDA5AC4E4EF5AFF1DB9A4EA20F40_12</vt:lpwstr>
  </property>
</Properties>
</file>